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4" w:lineRule="atLeast"/>
        <w:rPr>
          <w:sz w:val="28"/>
          <w:szCs w:val="28"/>
        </w:rPr>
      </w:pPr>
      <w:r>
        <w:rPr>
          <w:sz w:val="28"/>
          <w:szCs w:val="28"/>
        </w:rPr>
        <w:t>附件1：</w:t>
      </w:r>
    </w:p>
    <w:p>
      <w:pPr>
        <w:pStyle w:val="2"/>
        <w:widowControl/>
        <w:spacing w:line="504" w:lineRule="atLeast"/>
        <w:ind w:firstLine="420"/>
        <w:jc w:val="center"/>
        <w:rPr>
          <w:rFonts w:ascii="宋体" w:hAnsi="宋体" w:eastAsia="宋体" w:cs="宋体"/>
          <w:color w:val="111111"/>
          <w:spacing w:val="-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11111"/>
          <w:spacing w:val="-1"/>
          <w:sz w:val="28"/>
          <w:szCs w:val="28"/>
          <w:shd w:val="clear" w:color="auto" w:fill="FFFFFF"/>
        </w:rPr>
        <w:t>苏州健雄职业技术学院优质在线开放课程培育申报表</w:t>
      </w:r>
    </w:p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414"/>
        <w:gridCol w:w="1534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负责人所在单位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教育层次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○中职    ○高职专科    ○高职本科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课程分类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○专业（技能）课程</w:t>
            </w:r>
          </w:p>
        </w:tc>
        <w:tc>
          <w:tcPr>
            <w:tcW w:w="294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□专业基础课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□专业核心课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□专业拓展课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□实习实训类</w:t>
            </w:r>
          </w:p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○其他课程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课程性质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申报类型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○国家级培育课程    ○省级培育课程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学时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/学分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（如为国家规划教材、省级规划教材等须注明）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课程纳入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校级/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省级及以上有关项目情况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具体名称（如XX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省精品职业教育在线开放课程）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活动的账号和密码等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（选择最优的一个课程链接）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二、授课教师（课程团队）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主要成员（序号1为课程负责人，总人数限8人之内）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课程负责人和团队主要成员教学情况（500字以内）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（近5年来在承担该门课程开展教学研究、获得教学奖励方面的情况）</w:t>
            </w: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三、课程设计（600字以内）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（本课程定位与目标、结构与内容等情况）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四、课程建设（1</w:t>
      </w:r>
      <w:r>
        <w:rPr>
          <w:rFonts w:hint="eastAsia" w:ascii="Times New Roman" w:hAnsi="Times New Roman" w:eastAsia="黑体"/>
          <w:sz w:val="28"/>
          <w:szCs w:val="28"/>
        </w:rPr>
        <w:t>0</w:t>
      </w:r>
      <w:r>
        <w:rPr>
          <w:rFonts w:ascii="Times New Roman" w:hAnsi="Times New Roman" w:eastAsia="黑体"/>
          <w:sz w:val="28"/>
          <w:szCs w:val="28"/>
        </w:rPr>
        <w:t>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（本课程的性质与作用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、课程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设计的理念与思路，对专业建设与发展的定位与作用，持续建设和更新情况，以及资源共享情况）</w:t>
            </w: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pStyle w:val="6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五、课程</w:t>
      </w:r>
      <w:r>
        <w:rPr>
          <w:rFonts w:hint="eastAsia" w:ascii="Times New Roman" w:hAnsi="Times New Roman" w:eastAsia="黑体"/>
          <w:sz w:val="28"/>
          <w:szCs w:val="28"/>
        </w:rPr>
        <w:t>建设计划</w:t>
      </w:r>
      <w:r>
        <w:rPr>
          <w:rFonts w:ascii="Times New Roman" w:hAnsi="Times New Roman" w:eastAsia="黑体"/>
          <w:sz w:val="28"/>
          <w:szCs w:val="28"/>
        </w:rPr>
        <w:t>（</w:t>
      </w:r>
      <w:r>
        <w:rPr>
          <w:rFonts w:hint="eastAsia" w:ascii="Times New Roman" w:hAnsi="Times New Roman" w:eastAsia="黑体"/>
          <w:sz w:val="28"/>
          <w:szCs w:val="28"/>
        </w:rPr>
        <w:t>15</w:t>
      </w:r>
      <w:r>
        <w:rPr>
          <w:rFonts w:ascii="Times New Roman" w:hAnsi="Times New Roman" w:eastAsia="黑体"/>
          <w:sz w:val="28"/>
          <w:szCs w:val="28"/>
        </w:rPr>
        <w:t>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立项后的建设目标、进度及经费开支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视频数量及资源建设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等；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教学组织安排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计划；今后五年继续面向高校和社会开放学习服务计划，包括面向高校的教学应用计划和面向社会开设期次、持续更新和提供教学服务的设想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等情况）</w:t>
            </w: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6"/>
        <w:numPr>
          <w:ilvl w:val="255"/>
          <w:numId w:val="0"/>
        </w:numPr>
        <w:spacing w:line="340" w:lineRule="atLeas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六、</w:t>
      </w:r>
      <w:r>
        <w:rPr>
          <w:rFonts w:hint="eastAsia" w:ascii="Times New Roman" w:hAnsi="Times New Roman" w:eastAsia="黑体"/>
          <w:sz w:val="28"/>
          <w:szCs w:val="28"/>
        </w:rPr>
        <w:t>预期</w:t>
      </w:r>
      <w:r>
        <w:rPr>
          <w:rFonts w:ascii="Times New Roman" w:hAnsi="Times New Roman" w:eastAsia="黑体"/>
          <w:sz w:val="28"/>
          <w:szCs w:val="28"/>
        </w:rPr>
        <w:t>效果（</w:t>
      </w:r>
      <w:r>
        <w:rPr>
          <w:rFonts w:hint="eastAsia" w:ascii="Times New Roman" w:hAnsi="Times New Roman" w:eastAsia="黑体"/>
          <w:sz w:val="28"/>
          <w:szCs w:val="28"/>
        </w:rPr>
        <w:t>6</w:t>
      </w:r>
      <w:r>
        <w:rPr>
          <w:rFonts w:ascii="Times New Roman" w:hAnsi="Times New Roman" w:eastAsia="黑体"/>
          <w:sz w:val="28"/>
          <w:szCs w:val="28"/>
        </w:rPr>
        <w:t>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（本课程的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特色创新、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教学效果、课程示范引领等情况）</w:t>
            </w: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6"/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七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保障措施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22" w:type="dxa"/>
          </w:tcPr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课程团队所在二级学院承诺给予项目的政策、经费等方面的支持和保障条件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pStyle w:val="6"/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学校意见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22" w:type="dxa"/>
          </w:tcPr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rFonts w:ascii="Times New Roman" w:hAnsi="Times New Roman" w:eastAsia="Times New Roman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Times New Roman" w:hAnsi="Times New Roman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0C5D289F"/>
    <w:rsid w:val="22D625DC"/>
    <w:rsid w:val="563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2023-01-30T07:54:00Z</dcterms:created>
  <dc:creator>szjx_pc</dc:creator>
  <cp:lastModifiedBy>孙</cp:lastModifiedBy>
  <dcterms:modified xsi:type="dcterms:W3CDTF">2023-03-16T07:19:34Z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060FD9FDC9314964BEE5C6FFC259E3B6</vt:lpwstr>
  </property>
</Properties>
</file>