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noWrap w:val="0"/>
            <w:vAlign w:val="top"/>
          </w:tcPr>
          <w:p>
            <w:pPr>
              <w:pStyle w:val="19"/>
              <w:framePr w:wrap="notBeside" w:vAnchor="page" w:hAnchor="page" w:x="1372" w:y="568"/>
              <w:tabs>
                <w:tab w:val="clear" w:pos="4153"/>
                <w:tab w:val="clear" w:pos="8306"/>
              </w:tabs>
              <w:spacing w:line="240" w:lineRule="auto"/>
              <w:jc w:val="left"/>
              <w:rPr>
                <w:rFonts w:ascii="黑体" w:hAnsi="黑体" w:eastAsia="黑体"/>
                <w:kern w:val="2"/>
                <w:sz w:val="21"/>
                <w:szCs w:val="21"/>
                <w:lang w:val="en-US" w:eastAsia="zh-CN"/>
              </w:rPr>
            </w:pPr>
            <w:r>
              <w:rPr>
                <w:rFonts w:eastAsia="黑体"/>
                <w:kern w:val="2"/>
                <w:sz w:val="21"/>
                <w:szCs w:val="21"/>
                <w:lang w:val="en-US" w:eastAsia="zh-CN"/>
              </w:rPr>
              <w:t>ICS</w:t>
            </w:r>
          </w:p>
        </w:tc>
        <w:tc>
          <w:tcPr>
            <w:tcW w:w="8855" w:type="dxa"/>
            <w:noWrap w:val="0"/>
            <w:vAlign w:val="top"/>
          </w:tcPr>
          <w:p>
            <w:pPr>
              <w:pStyle w:val="19"/>
              <w:framePr w:wrap="notBeside" w:vAnchor="page" w:hAnchor="page" w:x="1372" w:y="568"/>
              <w:tabs>
                <w:tab w:val="clear" w:pos="4153"/>
                <w:tab w:val="clear" w:pos="8306"/>
              </w:tabs>
              <w:spacing w:line="240" w:lineRule="auto"/>
              <w:jc w:val="both"/>
              <w:rPr>
                <w:rFonts w:ascii="黑体" w:hAnsi="黑体" w:eastAsia="黑体"/>
                <w:kern w:val="2"/>
                <w:sz w:val="21"/>
                <w:szCs w:val="21"/>
                <w:lang w:val="en-US" w:eastAsia="zh-CN"/>
              </w:rPr>
            </w:pPr>
            <w:r>
              <w:rPr>
                <w:rFonts w:ascii="黑体" w:hAnsi="黑体" w:eastAsia="黑体"/>
                <w:kern w:val="2"/>
                <w:sz w:val="21"/>
                <w:szCs w:val="21"/>
                <w:lang w:val="en-US" w:eastAsia="zh-CN"/>
              </w:rPr>
              <w:fldChar w:fldCharType="begin">
                <w:ffData>
                  <w:name w:val="ICS"/>
                  <w:enabled/>
                  <w:calcOnExit w:val="0"/>
                  <w:textInput>
                    <w:default w:val="点击此处添加ICS号"/>
                  </w:textInput>
                </w:ffData>
              </w:fldChar>
            </w:r>
            <w:bookmarkStart w:id="0" w:name="ICS"/>
            <w:r>
              <w:rPr>
                <w:rFonts w:ascii="黑体" w:hAnsi="黑体" w:eastAsia="黑体"/>
                <w:kern w:val="2"/>
                <w:sz w:val="21"/>
                <w:szCs w:val="21"/>
                <w:lang w:val="en-US" w:eastAsia="zh-CN"/>
              </w:rPr>
              <w:instrText xml:space="preserve"> FORMTEXT </w:instrText>
            </w:r>
            <w:r>
              <w:rPr>
                <w:rFonts w:ascii="黑体" w:hAnsi="黑体" w:eastAsia="黑体"/>
                <w:kern w:val="2"/>
                <w:sz w:val="21"/>
                <w:szCs w:val="21"/>
                <w:lang w:val="en-US" w:eastAsia="zh-CN"/>
              </w:rPr>
              <w:fldChar w:fldCharType="separate"/>
            </w:r>
            <w:r>
              <w:rPr>
                <w:rFonts w:hint="eastAsia" w:ascii="黑体" w:hAnsi="黑体" w:eastAsia="黑体"/>
                <w:kern w:val="2"/>
                <w:sz w:val="21"/>
                <w:szCs w:val="21"/>
                <w:lang w:val="en-US" w:eastAsia="zh-CN"/>
              </w:rPr>
              <w:t>03.180</w:t>
            </w:r>
            <w:r>
              <w:rPr>
                <w:rFonts w:ascii="黑体" w:hAnsi="黑体" w:eastAsia="黑体"/>
                <w:kern w:val="2"/>
                <w:sz w:val="21"/>
                <w:szCs w:val="21"/>
                <w:lang w:val="en-US" w:eastAsia="zh-CN"/>
              </w:rPr>
              <w:fldChar w:fldCharType="end"/>
            </w:r>
            <w:bookmarkEnd w:id="0"/>
          </w:p>
        </w:tc>
      </w:tr>
      <w:tr>
        <w:tblPrEx>
          <w:tblCellMar>
            <w:top w:w="0" w:type="dxa"/>
            <w:left w:w="0" w:type="dxa"/>
            <w:bottom w:w="0" w:type="dxa"/>
            <w:right w:w="0" w:type="dxa"/>
          </w:tblCellMar>
        </w:tblPrEx>
        <w:tc>
          <w:tcPr>
            <w:tcW w:w="509" w:type="dxa"/>
            <w:noWrap w:val="0"/>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lang w:val="en-US" w:eastAsia="zh-CN"/>
              </w:rPr>
            </w:pPr>
            <w:r>
              <w:rPr>
                <w:rFonts w:eastAsia="黑体"/>
                <w:kern w:val="2"/>
                <w:sz w:val="21"/>
                <w:szCs w:val="21"/>
                <w:lang w:val="en-US" w:eastAsia="zh-CN"/>
              </w:rPr>
              <w:t xml:space="preserve">CCS </w:t>
            </w:r>
          </w:p>
        </w:tc>
        <w:tc>
          <w:tcPr>
            <w:tcW w:w="8855" w:type="dxa"/>
            <w:noWrap w:val="0"/>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lang w:val="en-US" w:eastAsia="zh-CN"/>
              </w:rPr>
            </w:pPr>
            <w:r>
              <w:rPr>
                <w:rFonts w:ascii="黑体" w:hAnsi="黑体" w:eastAsia="黑体"/>
                <w:kern w:val="2"/>
                <w:sz w:val="21"/>
                <w:szCs w:val="21"/>
                <w:lang w:val="en-US" w:eastAsia="zh-CN"/>
              </w:rPr>
              <w:fldChar w:fldCharType="begin">
                <w:ffData>
                  <w:name w:val="CSDN"/>
                  <w:enabled/>
                  <w:calcOnExit w:val="0"/>
                  <w:textInput>
                    <w:default w:val="点击此处添加CCS号"/>
                  </w:textInput>
                </w:ffData>
              </w:fldChar>
            </w:r>
            <w:bookmarkStart w:id="1" w:name="CSDN"/>
            <w:r>
              <w:rPr>
                <w:rFonts w:ascii="黑体" w:hAnsi="黑体" w:eastAsia="黑体"/>
                <w:kern w:val="2"/>
                <w:sz w:val="21"/>
                <w:szCs w:val="21"/>
                <w:lang w:val="en-US" w:eastAsia="zh-CN"/>
              </w:rPr>
              <w:instrText xml:space="preserve"> FORMTEXT </w:instrText>
            </w:r>
            <w:r>
              <w:rPr>
                <w:rFonts w:ascii="黑体" w:hAnsi="黑体" w:eastAsia="黑体"/>
                <w:kern w:val="2"/>
                <w:sz w:val="21"/>
                <w:szCs w:val="21"/>
                <w:lang w:val="en-US" w:eastAsia="zh-CN"/>
              </w:rPr>
              <w:fldChar w:fldCharType="separate"/>
            </w:r>
            <w:r>
              <w:rPr>
                <w:rFonts w:ascii="黑体" w:hAnsi="黑体" w:eastAsia="黑体"/>
                <w:kern w:val="2"/>
                <w:sz w:val="21"/>
                <w:szCs w:val="21"/>
                <w:lang w:val="en-US" w:eastAsia="zh-CN"/>
              </w:rPr>
              <w:t>A 18</w:t>
            </w:r>
            <w:r>
              <w:rPr>
                <w:rFonts w:ascii="黑体" w:hAnsi="黑体" w:eastAsia="黑体"/>
                <w:kern w:val="2"/>
                <w:sz w:val="21"/>
                <w:szCs w:val="21"/>
                <w:lang w:val="en-US" w:eastAsia="zh-CN"/>
              </w:rPr>
              <w:fldChar w:fldCharType="end"/>
            </w:r>
            <w:bookmarkEnd w:id="1"/>
          </w:p>
        </w:tc>
      </w:tr>
    </w:tbl>
    <w:p>
      <w:pPr>
        <w:rPr>
          <w:rFonts w:ascii="宋体" w:hAnsi="Times New Roman"/>
          <w:vanish/>
          <w:kern w:val="0"/>
          <w:szCs w:val="20"/>
        </w:rPr>
      </w:pPr>
      <w:bookmarkStart w:id="2" w:name="_Hlk26473981"/>
    </w:p>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noWrap w:val="0"/>
            <w:vAlign w:val="top"/>
          </w:tcPr>
          <w:p>
            <w:pPr>
              <w:pStyle w:val="50"/>
              <w:framePr w:w="0" w:hRule="auto" w:wrap="auto" w:vAnchor="margin" w:hAnchor="text" w:xAlign="left" w:yAlign="inline"/>
              <w:rPr>
                <w:rFonts w:ascii="宋体" w:hAnsi="宋体"/>
                <w:sz w:val="28"/>
                <w:szCs w:val="28"/>
              </w:rPr>
            </w:pPr>
            <w:r>
              <w:drawing>
                <wp:inline distT="0" distB="0" distL="114300" distR="114300">
                  <wp:extent cx="796925" cy="397510"/>
                  <wp:effectExtent l="0" t="0" r="10795"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796925" cy="397510"/>
                          </a:xfrm>
                          <a:prstGeom prst="rect">
                            <a:avLst/>
                          </a:prstGeom>
                          <a:noFill/>
                          <a:ln>
                            <a:noFill/>
                          </a:ln>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3205</w:t>
            </w:r>
            <w:r>
              <w:fldChar w:fldCharType="end"/>
            </w:r>
            <w:bookmarkEnd w:id="3"/>
          </w:p>
        </w:tc>
      </w:tr>
    </w:tbl>
    <w:p>
      <w:pPr>
        <w:pStyle w:val="51"/>
        <w:framePr w:w="9639" w:h="624" w:hRule="exact" w:hSpace="181" w:vSpace="181" w:vAnchor="page"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苏州市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3205/T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 xml:space="preserve"> </w:t>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1"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4NJ&#10;ltgAAAAMAQAADwAAAAAAAAABACAAAAAiAAAAZHJzL2Rvd25yZXYueG1sUEsBAhQAFAAAAAgAh07i&#10;QGYQhibpAQAAuQMAAA4AAAAAAAAAAQAgAAAAJwEAAGRycy9lMm9Eb2MueG1sUEsFBgAAAAAGAAYA&#10;WQEAAIIFAAAAAA==&#10;">
                <v:fill on="f" focussize="0,0"/>
                <v:stroke color="#000000" joinstyle="round"/>
                <v:imagedata o:title=""/>
                <o:lock v:ext="edit" aspectratio="f"/>
              </v:line>
            </w:pict>
          </mc:Fallback>
        </mc:AlternateContent>
      </w:r>
    </w:p>
    <w:p>
      <w:pPr>
        <w:pStyle w:val="51"/>
        <w:framePr w:w="9639" w:h="6976" w:hRule="exact" w:hSpace="0" w:vSpace="0" w:vAnchor="page"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双元制职业教育 人才培养数字化管理</w:t>
      </w:r>
      <w:r>
        <w:rPr>
          <w:rFonts w:hint="eastAsia"/>
          <w:lang w:eastAsia="zh-CN"/>
        </w:rPr>
        <w:t>指南</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Dual system of vocational education—Guidelines on digital management</w:t>
      </w:r>
      <w:r>
        <w:rPr>
          <w:rFonts w:hint="eastAsia" w:eastAsia="黑体"/>
          <w:szCs w:val="28"/>
          <w:lang w:val="en-US" w:eastAsia="zh-CN"/>
        </w:rPr>
        <w:t xml:space="preserve"> of </w:t>
      </w:r>
      <w:r>
        <w:rPr>
          <w:rFonts w:hint="eastAsia" w:eastAsia="黑体"/>
          <w:szCs w:val="28"/>
        </w:rPr>
        <w:t>talents cultivation</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N6QEs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l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DN&#10;6QEs6AEAALgDAAAOAAAAAAAAAAEAIAAAACYBAABkcnMvZTJvRG9jLnhtbFBLBQYAAAAABgAGAFkB&#10;AACABQA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bookmarkStart w:id="171" w:name="_GoBack"/>
      <w:bookmarkEnd w:id="171"/>
    </w:p>
    <w:p>
      <w:pPr>
        <w:spacing w:line="20" w:lineRule="exact"/>
        <w:jc w:val="center"/>
        <w:rPr>
          <w:rFonts w:ascii="黑体" w:hAnsi="黑体" w:eastAsia="黑体"/>
          <w:sz w:val="32"/>
          <w:szCs w:val="32"/>
        </w:rPr>
      </w:pPr>
    </w:p>
    <w:p>
      <w:pPr>
        <w:pStyle w:val="178"/>
        <w:spacing w:before="3" w:beforeLines="1" w:after="686" w:afterLines="220"/>
        <w:outlineLvl w:val="0"/>
        <w:rPr>
          <w:rFonts w:hint="eastAsia" w:eastAsia="黑体"/>
          <w:lang w:eastAsia="zh-CN"/>
        </w:rPr>
      </w:pPr>
      <w:bookmarkStart w:id="22" w:name="NEW_STAND_NAME"/>
      <w:r>
        <w:rPr>
          <w:rFonts w:hint="eastAsia"/>
        </w:rPr>
        <w:t>双元制职业教育</w:t>
      </w:r>
      <w:r>
        <w:t xml:space="preserve"> 人才培养数字化管理</w:t>
      </w:r>
      <w:r>
        <w:rPr>
          <w:rFonts w:hint="eastAsia"/>
          <w:lang w:eastAsia="zh-CN"/>
        </w:rPr>
        <w:t>指南</w:t>
      </w:r>
    </w:p>
    <w:bookmarkEnd w:id="22"/>
    <w:p>
      <w:pPr>
        <w:pStyle w:val="105"/>
        <w:adjustRightInd w:val="0"/>
        <w:snapToGrid w:val="0"/>
        <w:spacing w:before="312" w:after="312"/>
      </w:pPr>
      <w:bookmarkStart w:id="23" w:name="_Toc113282269"/>
      <w:bookmarkStart w:id="24" w:name="_Toc113029200"/>
      <w:bookmarkStart w:id="25" w:name="_Toc26986771"/>
      <w:bookmarkStart w:id="26" w:name="_Toc113291820"/>
      <w:bookmarkStart w:id="27" w:name="_Toc26648465"/>
      <w:bookmarkStart w:id="28" w:name="_Toc112515187"/>
      <w:bookmarkStart w:id="29" w:name="_Toc17233333"/>
      <w:bookmarkStart w:id="30" w:name="_Toc113298689"/>
      <w:bookmarkStart w:id="31" w:name="_Toc112515231"/>
      <w:bookmarkStart w:id="32" w:name="_Toc17233325"/>
      <w:bookmarkStart w:id="33" w:name="_Toc113366063"/>
      <w:bookmarkStart w:id="34" w:name="_Toc26986530"/>
      <w:bookmarkStart w:id="35" w:name="_Toc113268943"/>
      <w:bookmarkStart w:id="36" w:name="_Toc112615322"/>
      <w:bookmarkStart w:id="37" w:name="_Toc24884218"/>
      <w:bookmarkStart w:id="38" w:name="_Toc113283534"/>
      <w:bookmarkStart w:id="39" w:name="_Toc113268995"/>
      <w:bookmarkStart w:id="40" w:name="_Toc113029229"/>
      <w:bookmarkStart w:id="41" w:name="_Toc26718930"/>
      <w:bookmarkStart w:id="42" w:name="_Toc113358957"/>
      <w:bookmarkStart w:id="43" w:name="_Toc113372685"/>
      <w:bookmarkStart w:id="44" w:name="_Toc24884211"/>
      <w:r>
        <w:rPr>
          <w:rFonts w:hint="eastAsia"/>
          <w:lang w:eastAsia="zh-CN"/>
        </w:rPr>
        <w:t>指南</w:t>
      </w:r>
      <w:r>
        <w:rPr>
          <w:rFonts w:hint="eastAsia"/>
        </w:rPr>
        <w:t>范围</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57"/>
        <w:adjustRightInd w:val="0"/>
        <w:snapToGrid w:val="0"/>
        <w:ind w:firstLine="420"/>
      </w:pPr>
      <w:bookmarkStart w:id="45" w:name="_Toc24884219"/>
      <w:bookmarkStart w:id="46" w:name="_Toc26648466"/>
      <w:bookmarkStart w:id="47" w:name="_Toc17233334"/>
      <w:bookmarkStart w:id="48" w:name="_Toc24884212"/>
      <w:bookmarkStart w:id="49" w:name="_Toc17233326"/>
      <w:r>
        <w:rPr>
          <w:rFonts w:hint="eastAsia"/>
        </w:rPr>
        <w:t>本文件规定了双元制职业教育人才培养信息数字化管理的管理框架、系统功能、基础设施建设要求、数据库建设要求、管理要求及监督与评价。</w:t>
      </w:r>
    </w:p>
    <w:p>
      <w:pPr>
        <w:pStyle w:val="57"/>
        <w:adjustRightInd w:val="0"/>
        <w:snapToGrid w:val="0"/>
        <w:ind w:firstLine="420"/>
      </w:pPr>
      <w:r>
        <w:rPr>
          <w:rFonts w:hint="eastAsia"/>
        </w:rPr>
        <w:t>本文件适用于实施双元制职业教育人才培养的职业院校和企业。</w:t>
      </w:r>
    </w:p>
    <w:p>
      <w:pPr>
        <w:pStyle w:val="105"/>
        <w:adjustRightInd w:val="0"/>
        <w:snapToGrid w:val="0"/>
        <w:spacing w:before="312" w:after="312"/>
      </w:pPr>
      <w:bookmarkStart w:id="50" w:name="_Toc26986772"/>
      <w:bookmarkStart w:id="51" w:name="_Toc112515232"/>
      <w:bookmarkStart w:id="52" w:name="_Toc113268996"/>
      <w:bookmarkStart w:id="53" w:name="_Toc113372686"/>
      <w:bookmarkStart w:id="54" w:name="_Toc113029230"/>
      <w:bookmarkStart w:id="55" w:name="_Toc26718931"/>
      <w:bookmarkStart w:id="56" w:name="_Toc113282270"/>
      <w:bookmarkStart w:id="57" w:name="_Toc112515188"/>
      <w:bookmarkStart w:id="58" w:name="_Toc113366064"/>
      <w:bookmarkStart w:id="59" w:name="_Toc26986531"/>
      <w:bookmarkStart w:id="60" w:name="_Toc112615323"/>
      <w:bookmarkStart w:id="61" w:name="_Toc113283535"/>
      <w:bookmarkStart w:id="62" w:name="_Toc113268944"/>
      <w:bookmarkStart w:id="63" w:name="_Toc113291821"/>
      <w:bookmarkStart w:id="64" w:name="_Toc113029201"/>
      <w:bookmarkStart w:id="65" w:name="_Toc113358958"/>
      <w:bookmarkStart w:id="66" w:name="_Toc113298690"/>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pStyle w:val="57"/>
        <w:adjustRightInd w:val="0"/>
        <w:snapToGrid w:val="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7"/>
        <w:adjustRightInd w:val="0"/>
        <w:snapToGrid w:val="0"/>
        <w:ind w:firstLine="420"/>
      </w:pPr>
      <w:r>
        <w:rPr>
          <w:rFonts w:hint="eastAsia"/>
        </w:rPr>
        <w:t>DB32/T 4323-2022 双元制职业教育人才培养指南</w:t>
      </w:r>
    </w:p>
    <w:p>
      <w:pPr>
        <w:pStyle w:val="105"/>
        <w:adjustRightInd w:val="0"/>
        <w:snapToGrid w:val="0"/>
        <w:spacing w:before="312" w:after="312"/>
      </w:pPr>
      <w:bookmarkStart w:id="67" w:name="_Toc113282271"/>
      <w:bookmarkStart w:id="68" w:name="_Toc112515189"/>
      <w:bookmarkStart w:id="69" w:name="_Toc112515233"/>
      <w:bookmarkStart w:id="70" w:name="_Toc113029231"/>
      <w:bookmarkStart w:id="71" w:name="_Toc112615324"/>
      <w:bookmarkStart w:id="72" w:name="_Toc113372687"/>
      <w:bookmarkStart w:id="73" w:name="_Toc113291822"/>
      <w:bookmarkStart w:id="74" w:name="_Toc113283536"/>
      <w:bookmarkStart w:id="75" w:name="_Toc113298691"/>
      <w:bookmarkStart w:id="76" w:name="_Toc113366065"/>
      <w:bookmarkStart w:id="77" w:name="_Toc113268997"/>
      <w:bookmarkStart w:id="78" w:name="_Toc113358959"/>
      <w:bookmarkStart w:id="79" w:name="_Toc113268945"/>
      <w:bookmarkStart w:id="80" w:name="_Toc113029202"/>
      <w:r>
        <w:rPr>
          <w:rFonts w:hint="eastAsia"/>
          <w:szCs w:val="21"/>
        </w:rPr>
        <w:t>术语和定义</w:t>
      </w:r>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57"/>
        <w:adjustRightInd w:val="0"/>
        <w:snapToGrid w:val="0"/>
        <w:ind w:firstLine="480"/>
      </w:pPr>
      <w:bookmarkStart w:id="81" w:name="_Toc26986532"/>
      <w:bookmarkEnd w:id="81"/>
      <w:r>
        <w:rPr>
          <w:rFonts w:hAnsi="宋体"/>
          <w:sz w:val="24"/>
        </w:rPr>
        <w:t>DB32/T 4323-2022界定的以及下列术语和定义适用于本文件。</w:t>
      </w:r>
    </w:p>
    <w:p>
      <w:pPr>
        <w:pStyle w:val="224"/>
        <w:spacing w:before="156" w:beforeLines="50" w:after="156" w:afterLines="50"/>
        <w:ind w:left="420" w:hanging="420" w:hangingChars="200"/>
        <w:rPr>
          <w:rFonts w:ascii="黑体" w:hAnsi="黑体" w:eastAsia="黑体"/>
        </w:rPr>
      </w:pPr>
    </w:p>
    <w:p>
      <w:pPr>
        <w:pStyle w:val="224"/>
        <w:numPr>
          <w:numId w:val="0"/>
        </w:numPr>
        <w:spacing w:before="156" w:beforeLines="50" w:after="156" w:afterLines="50"/>
        <w:ind w:leftChars="-200" w:firstLine="840" w:firstLineChars="400"/>
        <w:rPr>
          <w:rFonts w:ascii="黑体" w:hAnsi="黑体" w:eastAsia="黑体"/>
        </w:rPr>
      </w:pPr>
      <w:r>
        <w:rPr>
          <w:rFonts w:hint="eastAsia" w:ascii="黑体" w:hAnsi="黑体" w:eastAsia="黑体"/>
        </w:rPr>
        <w:t xml:space="preserve">双元制职业教育 </w:t>
      </w:r>
      <w:r>
        <w:rPr>
          <w:rFonts w:ascii="黑体" w:hAnsi="黑体" w:eastAsia="黑体"/>
        </w:rPr>
        <w:t>dualsystem of vocational education</w:t>
      </w:r>
    </w:p>
    <w:p>
      <w:pPr>
        <w:pStyle w:val="57"/>
        <w:adjustRightInd w:val="0"/>
        <w:snapToGrid w:val="0"/>
        <w:ind w:firstLine="420"/>
      </w:pPr>
      <w:r>
        <w:rPr>
          <w:rFonts w:hint="eastAsia"/>
        </w:rPr>
        <w:t>职业院校和企业共同承担人才培养任务，合作培养高素质技术技能人才的职业教育培养模式。</w:t>
      </w:r>
    </w:p>
    <w:p>
      <w:pPr>
        <w:pStyle w:val="57"/>
        <w:adjustRightInd w:val="0"/>
        <w:snapToGrid w:val="0"/>
        <w:ind w:firstLine="420"/>
      </w:pPr>
      <w:r>
        <w:rPr>
          <w:rFonts w:hint="eastAsia"/>
        </w:rPr>
        <w:t>[来源</w:t>
      </w:r>
      <w:r>
        <w:t>: DB32/T 4323-2022</w:t>
      </w:r>
      <w:r>
        <w:rPr>
          <w:rFonts w:hint="eastAsia"/>
        </w:rPr>
        <w:t>，3</w:t>
      </w:r>
      <w:r>
        <w:t>.1]</w:t>
      </w:r>
    </w:p>
    <w:p>
      <w:pPr>
        <w:pStyle w:val="224"/>
        <w:adjustRightInd w:val="0"/>
        <w:snapToGrid w:val="0"/>
        <w:spacing w:before="156" w:beforeLines="50" w:after="156" w:afterLines="50"/>
        <w:ind w:left="420" w:hanging="420" w:hangingChars="200"/>
        <w:rPr>
          <w:rFonts w:ascii="黑体" w:hAnsi="黑体" w:eastAsia="黑体"/>
        </w:rPr>
      </w:pPr>
    </w:p>
    <w:p>
      <w:pPr>
        <w:pStyle w:val="224"/>
        <w:numPr>
          <w:numId w:val="0"/>
        </w:numPr>
        <w:adjustRightInd w:val="0"/>
        <w:snapToGrid w:val="0"/>
        <w:spacing w:before="156" w:beforeLines="50" w:after="156" w:afterLines="50"/>
        <w:ind w:leftChars="-200" w:firstLine="840" w:firstLineChars="400"/>
        <w:rPr>
          <w:rFonts w:ascii="黑体" w:hAnsi="黑体" w:eastAsia="黑体"/>
        </w:rPr>
      </w:pPr>
      <w:r>
        <w:rPr>
          <w:rFonts w:hint="eastAsia" w:ascii="黑体" w:hAnsi="黑体" w:eastAsia="黑体"/>
        </w:rPr>
        <w:t xml:space="preserve">人才培养数字化管理 digital management of </w:t>
      </w:r>
      <w:r>
        <w:rPr>
          <w:rFonts w:ascii="黑体" w:hAnsi="黑体" w:eastAsia="黑体"/>
        </w:rPr>
        <w:t xml:space="preserve">talent </w:t>
      </w:r>
      <w:r>
        <w:rPr>
          <w:rFonts w:hint="eastAsia" w:ascii="黑体" w:hAnsi="黑体" w:eastAsia="黑体"/>
        </w:rPr>
        <w:t xml:space="preserve"> cultivation</w:t>
      </w:r>
    </w:p>
    <w:p>
      <w:pPr>
        <w:pStyle w:val="57"/>
        <w:adjustRightInd w:val="0"/>
        <w:snapToGrid w:val="0"/>
        <w:ind w:firstLine="420"/>
      </w:pPr>
      <w:r>
        <w:rPr>
          <w:rFonts w:hint="eastAsia"/>
        </w:rPr>
        <w:t>利用计算机、通信、网络的数字技术，通过技术量化管理对象与管理行为，实现对人才培养全过程的信息要素进行科学管理的活动和方法。</w:t>
      </w:r>
    </w:p>
    <w:p>
      <w:pPr>
        <w:pStyle w:val="224"/>
        <w:spacing w:before="156" w:beforeLines="50" w:after="156" w:afterLines="50"/>
        <w:ind w:left="420" w:hanging="420" w:hangingChars="200"/>
        <w:rPr>
          <w:rFonts w:ascii="黑体" w:hAnsi="黑体" w:eastAsia="黑体"/>
        </w:rPr>
      </w:pPr>
    </w:p>
    <w:p>
      <w:pPr>
        <w:pStyle w:val="224"/>
        <w:numPr>
          <w:numId w:val="0"/>
        </w:numPr>
        <w:spacing w:before="156" w:beforeLines="50" w:after="156" w:afterLines="50"/>
        <w:ind w:leftChars="-200" w:firstLine="840" w:firstLineChars="400"/>
        <w:rPr>
          <w:rFonts w:ascii="黑体" w:hAnsi="黑体" w:eastAsia="黑体"/>
        </w:rPr>
      </w:pPr>
      <w:r>
        <w:rPr>
          <w:rFonts w:hint="eastAsia" w:ascii="黑体" w:hAnsi="黑体" w:eastAsia="黑体"/>
        </w:rPr>
        <w:t>双元制项目</w:t>
      </w:r>
      <w:r>
        <w:rPr>
          <w:rFonts w:ascii="黑体" w:hAnsi="黑体" w:eastAsia="黑体"/>
        </w:rPr>
        <w:t xml:space="preserve">dual system </w:t>
      </w:r>
      <w:r>
        <w:rPr>
          <w:rFonts w:hint="eastAsia" w:ascii="黑体" w:hAnsi="黑体" w:eastAsia="黑体"/>
        </w:rPr>
        <w:t>p</w:t>
      </w:r>
      <w:r>
        <w:rPr>
          <w:rFonts w:ascii="黑体" w:hAnsi="黑体" w:eastAsia="黑体"/>
        </w:rPr>
        <w:t>roject</w:t>
      </w:r>
    </w:p>
    <w:p>
      <w:pPr>
        <w:pStyle w:val="57"/>
        <w:adjustRightInd w:val="0"/>
        <w:snapToGrid w:val="0"/>
        <w:ind w:firstLine="420"/>
      </w:pPr>
      <w:r>
        <w:rPr>
          <w:rFonts w:hint="eastAsia"/>
        </w:rPr>
        <w:t>采用双元制职业教育人才培养模式的校企育人项目。</w:t>
      </w:r>
    </w:p>
    <w:p>
      <w:pPr>
        <w:pStyle w:val="105"/>
        <w:spacing w:before="312" w:after="312"/>
      </w:pPr>
      <w:bookmarkStart w:id="82" w:name="_Toc113029232"/>
      <w:bookmarkStart w:id="83" w:name="_Toc113358960"/>
      <w:bookmarkStart w:id="84" w:name="_Toc113298692"/>
      <w:bookmarkStart w:id="85" w:name="_Toc113282272"/>
      <w:bookmarkStart w:id="86" w:name="_Toc113029203"/>
      <w:bookmarkStart w:id="87" w:name="_Toc113268998"/>
      <w:bookmarkStart w:id="88" w:name="_Toc113268946"/>
      <w:bookmarkStart w:id="89" w:name="_Toc113366066"/>
      <w:bookmarkStart w:id="90" w:name="_Toc113283537"/>
      <w:bookmarkStart w:id="91" w:name="_Toc113372688"/>
      <w:bookmarkStart w:id="92" w:name="_Toc113291823"/>
      <w:bookmarkStart w:id="93" w:name="_Toc112515191"/>
      <w:bookmarkStart w:id="94" w:name="_Toc112515235"/>
      <w:bookmarkStart w:id="95" w:name="_Toc112615326"/>
      <w:r>
        <w:rPr>
          <w:rFonts w:hint="eastAsia"/>
          <w:lang w:eastAsia="zh-CN"/>
        </w:rPr>
        <w:t>总体</w:t>
      </w:r>
      <w:r>
        <w:rPr>
          <w:rFonts w:hint="eastAsia"/>
          <w:lang w:val="en-US" w:eastAsia="zh-CN"/>
        </w:rPr>
        <w:t>原则</w:t>
      </w:r>
    </w:p>
    <w:bookmarkEnd w:id="82"/>
    <w:bookmarkEnd w:id="83"/>
    <w:bookmarkEnd w:id="84"/>
    <w:bookmarkEnd w:id="85"/>
    <w:bookmarkEnd w:id="86"/>
    <w:bookmarkEnd w:id="87"/>
    <w:bookmarkEnd w:id="88"/>
    <w:bookmarkEnd w:id="89"/>
    <w:bookmarkEnd w:id="90"/>
    <w:bookmarkEnd w:id="91"/>
    <w:bookmarkEnd w:id="92"/>
    <w:p>
      <w:pPr>
        <w:pStyle w:val="106"/>
        <w:spacing w:before="156" w:after="156"/>
        <w:rPr>
          <w:rFonts w:hint="eastAsia"/>
        </w:rPr>
      </w:pPr>
      <w:bookmarkStart w:id="96" w:name="_Toc113283539"/>
      <w:bookmarkStart w:id="97" w:name="_Toc113372690"/>
      <w:bookmarkStart w:id="98" w:name="_Toc113358962"/>
      <w:bookmarkStart w:id="99" w:name="_Toc113291825"/>
      <w:bookmarkStart w:id="100" w:name="_Toc113366068"/>
      <w:bookmarkStart w:id="101" w:name="_Toc113282274"/>
      <w:bookmarkStart w:id="102" w:name="_Toc113298694"/>
      <w:r>
        <w:rPr>
          <w:rFonts w:hint="eastAsia"/>
        </w:rPr>
        <w:t>充分利用已有的</w:t>
      </w:r>
      <w:r>
        <w:rPr>
          <w:rFonts w:hint="eastAsia"/>
          <w:lang w:val="en-US" w:eastAsia="zh-CN"/>
        </w:rPr>
        <w:t>信息</w:t>
      </w:r>
      <w:r>
        <w:rPr>
          <w:rFonts w:hint="eastAsia"/>
        </w:rPr>
        <w:t>基础设施，</w:t>
      </w:r>
      <w:r>
        <w:rPr>
          <w:rFonts w:hint="eastAsia"/>
          <w:lang w:val="en-US" w:eastAsia="zh-CN"/>
        </w:rPr>
        <w:t>打</w:t>
      </w:r>
      <w:r>
        <w:rPr>
          <w:rFonts w:hint="eastAsia"/>
        </w:rPr>
        <w:t>通职业院校与企业、培训中心的</w:t>
      </w:r>
      <w:r>
        <w:rPr>
          <w:rFonts w:hint="eastAsia"/>
          <w:lang w:val="en-US" w:eastAsia="zh-CN"/>
        </w:rPr>
        <w:t>相关</w:t>
      </w:r>
      <w:r>
        <w:rPr>
          <w:rFonts w:hint="eastAsia"/>
        </w:rPr>
        <w:t>系统</w:t>
      </w:r>
      <w:r>
        <w:rPr>
          <w:rFonts w:hint="eastAsia"/>
          <w:lang w:val="en-US" w:eastAsia="zh-CN"/>
        </w:rPr>
        <w:t>（例如职业院校的</w:t>
      </w:r>
      <w:r>
        <w:rPr>
          <w:rFonts w:hint="eastAsia"/>
        </w:rPr>
        <w:t>教务系统、学工系统、就业系统</w:t>
      </w:r>
      <w:r>
        <w:rPr>
          <w:rFonts w:hint="eastAsia"/>
          <w:lang w:val="en-US" w:eastAsia="zh-CN"/>
        </w:rPr>
        <w:t>等，企业的实习系统，培训中心的培训系统等）</w:t>
      </w:r>
      <w:r>
        <w:rPr>
          <w:rFonts w:hint="eastAsia"/>
        </w:rPr>
        <w:t>，实现人才培养数据在学校、企业、培训中心之间互通、交换与共享。</w:t>
      </w:r>
    </w:p>
    <w:p>
      <w:pPr>
        <w:pStyle w:val="57"/>
        <w:ind w:left="0" w:leftChars="0" w:firstLine="0" w:firstLineChars="0"/>
        <w:rPr>
          <w:rFonts w:hint="default"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4.2 在职业院校、企业、培训中心</w:t>
      </w:r>
      <w:r>
        <w:rPr>
          <w:rFonts w:hint="eastAsia" w:ascii="黑体" w:eastAsia="黑体" w:cs="Times New Roman"/>
          <w:sz w:val="21"/>
          <w:lang w:val="en-US" w:eastAsia="zh-CN" w:bidi="ar-SA"/>
        </w:rPr>
        <w:t>的教学场所设置配套的信息数据采集设备，采集学生项目任务完成数据情况。</w:t>
      </w:r>
    </w:p>
    <w:p>
      <w:pPr>
        <w:pStyle w:val="106"/>
        <w:spacing w:before="156" w:after="156"/>
        <w:rPr>
          <w:rFonts w:hint="eastAsia"/>
        </w:rPr>
      </w:pPr>
      <w:r>
        <w:rPr>
          <w:rFonts w:hint="eastAsia"/>
        </w:rPr>
        <w:t>对</w:t>
      </w:r>
      <w:r>
        <w:rPr>
          <w:rFonts w:hint="eastAsia"/>
          <w:lang w:val="en-US" w:eastAsia="zh-CN"/>
        </w:rPr>
        <w:t>学员</w:t>
      </w:r>
      <w:r>
        <w:rPr>
          <w:rFonts w:hint="eastAsia"/>
        </w:rPr>
        <w:t>在培养周期内的不同教学场所的数据进行融合，形成规范统一、可计算分析及可视化的数据资源，对</w:t>
      </w:r>
      <w:r>
        <w:rPr>
          <w:rFonts w:hint="eastAsia"/>
          <w:lang w:val="en-US" w:eastAsia="zh-CN"/>
        </w:rPr>
        <w:t>学员</w:t>
      </w:r>
      <w:r>
        <w:rPr>
          <w:rFonts w:hint="eastAsia"/>
        </w:rPr>
        <w:t>的学习情况进行全过程追溯</w:t>
      </w:r>
      <w:r>
        <w:rPr>
          <w:rFonts w:hint="eastAsia"/>
          <w:lang w:eastAsia="zh-CN"/>
        </w:rPr>
        <w:t>、</w:t>
      </w:r>
      <w:r>
        <w:rPr>
          <w:rFonts w:hint="eastAsia"/>
          <w:lang w:val="en-US" w:eastAsia="zh-CN"/>
        </w:rPr>
        <w:t>展现</w:t>
      </w:r>
      <w:r>
        <w:rPr>
          <w:rFonts w:hint="eastAsia"/>
        </w:rPr>
        <w:t xml:space="preserve">。 </w:t>
      </w:r>
    </w:p>
    <w:p>
      <w:pPr>
        <w:pStyle w:val="106"/>
        <w:spacing w:before="156" w:after="156"/>
        <w:rPr>
          <w:rFonts w:hint="eastAsia"/>
        </w:rPr>
      </w:pPr>
      <w:r>
        <w:rPr>
          <w:rFonts w:hint="eastAsia"/>
        </w:rPr>
        <w:t>对</w:t>
      </w:r>
      <w:r>
        <w:rPr>
          <w:rFonts w:hint="eastAsia"/>
          <w:lang w:eastAsia="zh-CN"/>
        </w:rPr>
        <w:t>双元制项目的开展进行全过程动态跟踪，职业院校和企业对双元制项目可进行实时评估、调整及改进。</w:t>
      </w:r>
    </w:p>
    <w:p>
      <w:pPr>
        <w:pStyle w:val="105"/>
        <w:spacing w:before="312" w:after="312"/>
      </w:pPr>
      <w:r>
        <w:rPr>
          <w:rFonts w:hint="eastAsia"/>
          <w:lang w:val="en-US" w:eastAsia="zh-CN"/>
        </w:rPr>
        <w:t>管理内容</w:t>
      </w:r>
    </w:p>
    <w:p>
      <w:pPr>
        <w:pStyle w:val="106"/>
        <w:spacing w:before="156" w:after="156"/>
      </w:pPr>
      <w:bookmarkStart w:id="103" w:name="_Toc145599653"/>
      <w:bookmarkStart w:id="104" w:name="_Toc145599827"/>
      <w:bookmarkStart w:id="105" w:name="_Toc145599684"/>
      <w:bookmarkStart w:id="106" w:name="_Toc145599778"/>
      <w:r>
        <w:rPr>
          <w:rFonts w:hint="eastAsia"/>
        </w:rPr>
        <w:t>双元制项目名称管理</w:t>
      </w:r>
      <w:bookmarkEnd w:id="103"/>
      <w:bookmarkEnd w:id="104"/>
      <w:bookmarkEnd w:id="105"/>
      <w:bookmarkEnd w:id="106"/>
    </w:p>
    <w:p>
      <w:pPr>
        <w:pStyle w:val="57"/>
        <w:ind w:firstLine="420"/>
      </w:pPr>
      <w:r>
        <w:rPr>
          <w:rFonts w:hint="eastAsia"/>
        </w:rPr>
        <w:t>不同的双元制项目培养目标不同，由不同的培养主体实施完成，每个双元制项目宜有区分于其他项目的名称。</w:t>
      </w:r>
    </w:p>
    <w:p>
      <w:pPr>
        <w:pStyle w:val="106"/>
        <w:spacing w:before="156" w:after="156"/>
      </w:pPr>
      <w:bookmarkStart w:id="107" w:name="_Toc145599654"/>
      <w:bookmarkStart w:id="108" w:name="_Toc145599685"/>
      <w:bookmarkStart w:id="109" w:name="_Toc145599779"/>
      <w:bookmarkStart w:id="110" w:name="_Toc145599828"/>
      <w:r>
        <w:rPr>
          <w:rFonts w:hint="eastAsia"/>
        </w:rPr>
        <w:t>培养场所管理</w:t>
      </w:r>
      <w:bookmarkEnd w:id="107"/>
      <w:bookmarkEnd w:id="108"/>
      <w:bookmarkEnd w:id="109"/>
      <w:bookmarkEnd w:id="110"/>
    </w:p>
    <w:p>
      <w:pPr>
        <w:pStyle w:val="66"/>
        <w:spacing w:before="156" w:after="156"/>
      </w:pPr>
      <w:bookmarkStart w:id="111" w:name="_Toc145599655"/>
      <w:r>
        <w:rPr>
          <w:rFonts w:hint="eastAsia"/>
        </w:rPr>
        <w:t>职业院校管理</w:t>
      </w:r>
      <w:bookmarkEnd w:id="111"/>
    </w:p>
    <w:p>
      <w:pPr>
        <w:pStyle w:val="57"/>
        <w:ind w:firstLine="420"/>
      </w:pPr>
      <w:r>
        <w:rPr>
          <w:rFonts w:hint="eastAsia"/>
        </w:rPr>
        <w:t>宜对开展双元制项目的专业建立数据库，包括但不限于专业名称、所在院系、专业简介、就业前景、联系人、联系电话等相关数据，同时具备以上数据的录入、编辑、删除、查询、导出、打印等管理功能。</w:t>
      </w:r>
    </w:p>
    <w:p>
      <w:pPr>
        <w:pStyle w:val="66"/>
        <w:spacing w:before="156" w:after="156"/>
      </w:pPr>
      <w:bookmarkStart w:id="112" w:name="_Toc145599656"/>
      <w:r>
        <w:rPr>
          <w:rFonts w:hint="eastAsia"/>
        </w:rPr>
        <w:t>企业管理</w:t>
      </w:r>
      <w:bookmarkEnd w:id="112"/>
    </w:p>
    <w:p>
      <w:pPr>
        <w:pStyle w:val="57"/>
        <w:ind w:firstLine="420"/>
      </w:pPr>
      <w:r>
        <w:rPr>
          <w:rFonts w:hint="eastAsia"/>
        </w:rPr>
        <w:t>宜对开展双元制项目的企业建立数据库，包括但不限于企业的名称、统一社会信用代码、单位类型、法定代表人、联系人、联系电话、地址、经营范围等相关数据，同时具备以上数据的录入、编辑、删除、查询、导出、打印等管理功能。</w:t>
      </w:r>
    </w:p>
    <w:p>
      <w:pPr>
        <w:pStyle w:val="66"/>
        <w:spacing w:before="156" w:after="156"/>
      </w:pPr>
      <w:bookmarkStart w:id="113" w:name="_Toc145599657"/>
      <w:r>
        <w:rPr>
          <w:rFonts w:hint="eastAsia"/>
        </w:rPr>
        <w:t>培训中心管理</w:t>
      </w:r>
      <w:bookmarkEnd w:id="113"/>
    </w:p>
    <w:p>
      <w:pPr>
        <w:pStyle w:val="57"/>
        <w:ind w:firstLine="420"/>
      </w:pPr>
      <w:r>
        <w:rPr>
          <w:rFonts w:hint="eastAsia"/>
        </w:rPr>
        <w:t>宜对开展双元制项目的培训中心建立数据库，包括但不限于培训中心名称、5.2.2中合作企业的相关数据、合作双元制项目的相关数据等，同时具备以上数据的录入、编辑、删除、查询、导出、打印等管理功能。</w:t>
      </w:r>
    </w:p>
    <w:p>
      <w:pPr>
        <w:pStyle w:val="106"/>
        <w:spacing w:before="156" w:after="156"/>
      </w:pPr>
      <w:bookmarkStart w:id="114" w:name="_Toc145599780"/>
      <w:bookmarkStart w:id="115" w:name="_Toc145599686"/>
      <w:bookmarkStart w:id="116" w:name="_Toc145599829"/>
      <w:bookmarkStart w:id="117" w:name="_Toc145599658"/>
      <w:r>
        <w:rPr>
          <w:rFonts w:hint="eastAsia"/>
        </w:rPr>
        <w:t>培养方案管理</w:t>
      </w:r>
      <w:bookmarkEnd w:id="114"/>
      <w:bookmarkEnd w:id="115"/>
      <w:bookmarkEnd w:id="116"/>
      <w:bookmarkEnd w:id="117"/>
    </w:p>
    <w:p>
      <w:pPr>
        <w:pStyle w:val="57"/>
        <w:ind w:firstLine="420"/>
      </w:pPr>
      <w:r>
        <w:rPr>
          <w:rFonts w:hint="eastAsia"/>
        </w:rPr>
        <w:t>宜根据</w:t>
      </w:r>
      <w:r>
        <w:t>DB32/T 4323-2022</w:t>
      </w:r>
      <w:r>
        <w:rPr>
          <w:rFonts w:hint="eastAsia"/>
        </w:rPr>
        <w:t>中的9</w:t>
      </w:r>
      <w:r>
        <w:t>.1-9.1</w:t>
      </w:r>
      <w:r>
        <w:rPr>
          <w:rFonts w:hint="eastAsia"/>
        </w:rPr>
        <w:t>建立数据库，并可对数据进行录入、编辑、删除、查询、导出、打印等操作，数据库数据包括但不限于双元制项目的培养目标、培养计划、培养课程体系等相关数据：</w:t>
      </w:r>
    </w:p>
    <w:p>
      <w:pPr>
        <w:pStyle w:val="57"/>
        <w:ind w:firstLine="420"/>
      </w:pPr>
      <w:r>
        <w:rPr>
          <w:rFonts w:hint="eastAsia"/>
        </w:rPr>
        <w:t>——职业院校的专业目标、教学计划、课程体系等；</w:t>
      </w:r>
    </w:p>
    <w:p>
      <w:pPr>
        <w:pStyle w:val="57"/>
        <w:ind w:firstLine="420"/>
      </w:pPr>
      <w:r>
        <w:rPr>
          <w:rFonts w:hint="eastAsia"/>
        </w:rPr>
        <w:t>——培训中心的职业目标、培训计划、培训课程体系等；</w:t>
      </w:r>
    </w:p>
    <w:p>
      <w:pPr>
        <w:pStyle w:val="57"/>
        <w:ind w:firstLine="420"/>
      </w:pPr>
      <w:r>
        <w:rPr>
          <w:rFonts w:hint="eastAsia"/>
        </w:rPr>
        <w:t>——企业的岗位目标、轮岗培养计划、岗位师傅等；</w:t>
      </w:r>
    </w:p>
    <w:p>
      <w:pPr>
        <w:pStyle w:val="106"/>
        <w:spacing w:before="156" w:after="156"/>
      </w:pPr>
      <w:bookmarkStart w:id="118" w:name="_Toc145599830"/>
      <w:bookmarkStart w:id="119" w:name="_Toc145599781"/>
      <w:bookmarkStart w:id="120" w:name="_Toc145599659"/>
      <w:bookmarkStart w:id="121" w:name="_Toc145599687"/>
      <w:r>
        <w:rPr>
          <w:rFonts w:hint="eastAsia"/>
        </w:rPr>
        <w:t>培养对象管理</w:t>
      </w:r>
      <w:bookmarkEnd w:id="118"/>
      <w:bookmarkEnd w:id="119"/>
      <w:bookmarkEnd w:id="120"/>
      <w:bookmarkEnd w:id="121"/>
    </w:p>
    <w:p>
      <w:pPr>
        <w:pStyle w:val="57"/>
        <w:ind w:firstLine="420"/>
      </w:pPr>
      <w:r>
        <w:rPr>
          <w:rFonts w:hint="eastAsia"/>
        </w:rPr>
        <w:t>同一个双元制项目的培养对象宜为一个班级，并建立培养对象数据库，并可对数据库的数据进行录入、编辑、删除、查询、导出、打印等操作，数据库包括但不限于培养对象的姓名、学号、专业、年级、双元制项目名称、生源地等基础数据。</w:t>
      </w:r>
    </w:p>
    <w:p>
      <w:pPr>
        <w:pStyle w:val="106"/>
        <w:spacing w:before="156" w:after="156"/>
      </w:pPr>
      <w:bookmarkStart w:id="122" w:name="_Toc145599831"/>
      <w:bookmarkStart w:id="123" w:name="_Toc145599660"/>
      <w:bookmarkStart w:id="124" w:name="_Toc145599688"/>
      <w:bookmarkStart w:id="125" w:name="_Toc145599782"/>
      <w:r>
        <w:rPr>
          <w:rFonts w:hint="eastAsia"/>
        </w:rPr>
        <w:t>教学数据管理</w:t>
      </w:r>
      <w:bookmarkEnd w:id="122"/>
      <w:bookmarkEnd w:id="123"/>
      <w:bookmarkEnd w:id="124"/>
      <w:bookmarkEnd w:id="125"/>
    </w:p>
    <w:p>
      <w:pPr>
        <w:pStyle w:val="57"/>
        <w:ind w:firstLine="420"/>
      </w:pPr>
      <w:r>
        <w:rPr>
          <w:rFonts w:hint="eastAsia"/>
        </w:rPr>
        <w:t>宜根据</w:t>
      </w:r>
      <w:r>
        <w:t>8</w:t>
      </w:r>
      <w:r>
        <w:rPr>
          <w:rFonts w:hint="eastAsia"/>
        </w:rPr>
        <w:t>.3的要求建立教学数据库，并可对数据库进行数据的录入、编辑、删除、查询、导出、打印等操作，数据库包括但不限于:</w:t>
      </w:r>
    </w:p>
    <w:p>
      <w:pPr>
        <w:pStyle w:val="57"/>
        <w:ind w:firstLine="420"/>
      </w:pPr>
      <w:r>
        <w:rPr>
          <w:rFonts w:hint="eastAsia"/>
        </w:rPr>
        <w:t>——职业院校的课程名称、课程性质、教学目标、教学场室、课程考勤、课程成绩等数据；</w:t>
      </w:r>
    </w:p>
    <w:p>
      <w:pPr>
        <w:pStyle w:val="57"/>
        <w:ind w:firstLine="420"/>
      </w:pPr>
      <w:r>
        <w:rPr>
          <w:rFonts w:hint="eastAsia"/>
        </w:rPr>
        <w:t>——培训中心的培训模块、培训课程、培训区域、培训任务、任务实施情况、考勤、培训评价等数据；</w:t>
      </w:r>
    </w:p>
    <w:p>
      <w:pPr>
        <w:pStyle w:val="57"/>
        <w:ind w:firstLine="420"/>
      </w:pPr>
      <w:r>
        <w:rPr>
          <w:rFonts w:hint="eastAsia"/>
        </w:rPr>
        <w:t>——企业的岗位名称、岗位任务、考勤、岗位评价等数据；</w:t>
      </w:r>
    </w:p>
    <w:p>
      <w:pPr>
        <w:pStyle w:val="106"/>
        <w:spacing w:before="156" w:after="156"/>
      </w:pPr>
      <w:bookmarkStart w:id="126" w:name="_Toc145599661"/>
      <w:bookmarkStart w:id="127" w:name="_Toc145599689"/>
      <w:bookmarkStart w:id="128" w:name="_Toc145599783"/>
      <w:bookmarkStart w:id="129" w:name="_Toc145599832"/>
      <w:r>
        <w:rPr>
          <w:rFonts w:hint="eastAsia"/>
        </w:rPr>
        <w:t>师资队伍管理</w:t>
      </w:r>
      <w:bookmarkEnd w:id="126"/>
      <w:bookmarkEnd w:id="127"/>
      <w:bookmarkEnd w:id="128"/>
      <w:bookmarkEnd w:id="129"/>
    </w:p>
    <w:p>
      <w:pPr>
        <w:pStyle w:val="57"/>
        <w:ind w:firstLine="420"/>
      </w:pPr>
      <w:r>
        <w:rPr>
          <w:rFonts w:hint="eastAsia"/>
        </w:rPr>
        <w:t>宜根据</w:t>
      </w:r>
      <w:r>
        <w:t>DB32/T 4323-2022</w:t>
      </w:r>
      <w:r>
        <w:rPr>
          <w:rFonts w:hint="eastAsia"/>
        </w:rPr>
        <w:t>第8章的要求，对配备的双元制项目的师资队伍数据进行录入、编辑、删除、查询、导出、打印等管理，师资队伍数据包括但不限于：</w:t>
      </w:r>
    </w:p>
    <w:p>
      <w:pPr>
        <w:pStyle w:val="57"/>
        <w:ind w:firstLine="420"/>
      </w:pPr>
      <w:r>
        <w:rPr>
          <w:rFonts w:hint="eastAsia"/>
        </w:rPr>
        <w:t>——专任教师的姓名、所在专业名称、职称、资格证书等基础数据；</w:t>
      </w:r>
    </w:p>
    <w:p>
      <w:pPr>
        <w:pStyle w:val="57"/>
        <w:ind w:firstLine="420"/>
      </w:pPr>
      <w:r>
        <w:rPr>
          <w:rFonts w:hint="eastAsia"/>
        </w:rPr>
        <w:t>——培训师的姓名、毕业证书、资格证书、企业实践经历等基础数据；</w:t>
      </w:r>
    </w:p>
    <w:p>
      <w:pPr>
        <w:pStyle w:val="57"/>
        <w:ind w:firstLine="420"/>
      </w:pPr>
      <w:r>
        <w:rPr>
          <w:rFonts w:hint="eastAsia"/>
        </w:rPr>
        <w:t>——岗位师傅的姓名、毕业证书、资格证书、所在部门名称、企业经历等基础数据。</w:t>
      </w:r>
    </w:p>
    <w:p>
      <w:pPr>
        <w:pStyle w:val="106"/>
        <w:spacing w:before="156" w:after="156"/>
      </w:pPr>
      <w:bookmarkStart w:id="130" w:name="_Toc145599784"/>
      <w:bookmarkStart w:id="131" w:name="_Toc145599690"/>
      <w:bookmarkStart w:id="132" w:name="_Toc145599833"/>
      <w:bookmarkStart w:id="133" w:name="_Toc145599662"/>
      <w:r>
        <w:rPr>
          <w:rFonts w:hint="eastAsia"/>
        </w:rPr>
        <w:t>考核评价管理</w:t>
      </w:r>
      <w:bookmarkEnd w:id="130"/>
      <w:bookmarkEnd w:id="131"/>
      <w:bookmarkEnd w:id="132"/>
      <w:bookmarkEnd w:id="133"/>
    </w:p>
    <w:p>
      <w:pPr>
        <w:pStyle w:val="57"/>
        <w:ind w:firstLine="420"/>
      </w:pPr>
      <w:r>
        <w:rPr>
          <w:rFonts w:hint="eastAsia"/>
        </w:rPr>
        <w:t>宜根据</w:t>
      </w:r>
      <w:r>
        <w:t>DB32/T 4323-2022</w:t>
      </w:r>
      <w:r>
        <w:rPr>
          <w:rFonts w:hint="eastAsia"/>
        </w:rPr>
        <w:t>中9</w:t>
      </w:r>
      <w:r>
        <w:t>.7</w:t>
      </w:r>
      <w:r>
        <w:rPr>
          <w:rFonts w:hint="eastAsia"/>
        </w:rPr>
        <w:t>的要求建立数据库，并可对数据进行录入、编辑、删除、查询、导出、打印等管理，数据库数据包括职业院校评价、培训中心评价、企业评价和第三方评价的数据。</w:t>
      </w:r>
    </w:p>
    <w:p>
      <w:pPr>
        <w:pStyle w:val="105"/>
        <w:keepNext w:val="0"/>
        <w:keepLines w:val="0"/>
        <w:pageBreakBefore w:val="0"/>
        <w:widowControl/>
        <w:numPr>
          <w:ilvl w:val="1"/>
          <w:numId w:val="0"/>
        </w:numPr>
        <w:kinsoku/>
        <w:wordWrap/>
        <w:overflowPunct/>
        <w:topLinePunct w:val="0"/>
        <w:autoSpaceDE/>
        <w:autoSpaceDN/>
        <w:bidi w:val="0"/>
        <w:adjustRightInd w:val="0"/>
        <w:snapToGrid w:val="0"/>
        <w:spacing w:beforeLines="0" w:afterLines="0"/>
        <w:ind w:leftChars="0"/>
        <w:jc w:val="left"/>
        <w:textAlignment w:val="auto"/>
        <w:rPr>
          <w:rFonts w:hint="eastAsia" w:cs="Times New Roman"/>
          <w:lang w:val="en-US" w:eastAsia="zh-CN"/>
        </w:rPr>
      </w:pPr>
    </w:p>
    <w:p>
      <w:pPr>
        <w:pStyle w:val="105"/>
        <w:keepNext w:val="0"/>
        <w:keepLines w:val="0"/>
        <w:pageBreakBefore w:val="0"/>
        <w:widowControl/>
        <w:numPr>
          <w:ilvl w:val="1"/>
          <w:numId w:val="0"/>
        </w:numPr>
        <w:kinsoku/>
        <w:wordWrap/>
        <w:overflowPunct/>
        <w:topLinePunct w:val="0"/>
        <w:autoSpaceDE/>
        <w:autoSpaceDN/>
        <w:bidi w:val="0"/>
        <w:adjustRightInd w:val="0"/>
        <w:snapToGrid w:val="0"/>
        <w:spacing w:beforeLines="0" w:afterLines="0"/>
        <w:ind w:leftChars="0"/>
        <w:jc w:val="left"/>
        <w:textAlignment w:val="auto"/>
        <w:rPr>
          <w:rFonts w:hint="eastAsia" w:cs="Times New Roman"/>
          <w:lang w:val="en-US" w:eastAsia="zh-CN"/>
        </w:rPr>
      </w:pPr>
      <w:r>
        <w:rPr>
          <w:rFonts w:hint="eastAsia" w:cs="Times New Roman"/>
          <w:lang w:val="en-US" w:eastAsia="zh-CN"/>
        </w:rPr>
        <w:t>6  管理应用</w:t>
      </w:r>
    </w:p>
    <w:p>
      <w:pPr>
        <w:pStyle w:val="66"/>
        <w:numPr>
          <w:ilvl w:val="3"/>
          <w:numId w:val="0"/>
        </w:numPr>
        <w:spacing w:before="156" w:after="156"/>
        <w:ind w:leftChars="0"/>
        <w:jc w:val="left"/>
        <w:rPr>
          <w:rFonts w:hint="default"/>
          <w:lang w:val="en-US"/>
        </w:rPr>
      </w:pPr>
      <w:r>
        <w:rPr>
          <w:rFonts w:hint="eastAsia"/>
          <w:lang w:val="en-US" w:eastAsia="zh-CN"/>
        </w:rPr>
        <w:t>6.1  个体发展</w:t>
      </w:r>
    </w:p>
    <w:p>
      <w:pPr>
        <w:pStyle w:val="57"/>
        <w:adjustRightInd w:val="0"/>
        <w:snapToGrid w:val="0"/>
        <w:ind w:firstLine="420"/>
      </w:pPr>
      <w:r>
        <w:rPr>
          <w:rFonts w:hint="eastAsia"/>
        </w:rPr>
        <w:t>对</w:t>
      </w:r>
      <w:r>
        <w:rPr>
          <w:rFonts w:hint="eastAsia"/>
          <w:lang w:val="en-US" w:eastAsia="zh-CN"/>
        </w:rPr>
        <w:t>培养对象</w:t>
      </w:r>
      <w:r>
        <w:rPr>
          <w:rFonts w:hint="eastAsia"/>
        </w:rPr>
        <w:t>，</w:t>
      </w:r>
      <w:r>
        <w:rPr>
          <w:rFonts w:hint="eastAsia"/>
          <w:lang w:val="en-US" w:eastAsia="zh-CN"/>
        </w:rPr>
        <w:t>宜</w:t>
      </w:r>
      <w:r>
        <w:rPr>
          <w:rFonts w:hint="eastAsia"/>
        </w:rPr>
        <w:t>：</w:t>
      </w:r>
    </w:p>
    <w:p>
      <w:pPr>
        <w:pStyle w:val="57"/>
        <w:adjustRightInd w:val="0"/>
        <w:snapToGrid w:val="0"/>
        <w:ind w:firstLine="420"/>
        <w:rPr>
          <w:rFonts w:hint="eastAsia"/>
          <w:lang w:val="en-US" w:eastAsia="zh-CN"/>
        </w:rPr>
      </w:pPr>
      <w:r>
        <w:rPr>
          <w:rFonts w:hint="eastAsia"/>
        </w:rPr>
        <w:t>——</w:t>
      </w:r>
      <w:r>
        <w:rPr>
          <w:rFonts w:hint="eastAsia"/>
          <w:lang w:val="en-US" w:eastAsia="zh-CN"/>
        </w:rPr>
        <w:t>展示培养对象的基础数据，对培养对象在不同培养场所不同学习阶段的培养</w:t>
      </w:r>
      <w:r>
        <w:rPr>
          <w:rFonts w:hint="eastAsia"/>
        </w:rPr>
        <w:t>计划、</w:t>
      </w:r>
      <w:r>
        <w:rPr>
          <w:rFonts w:hint="eastAsia"/>
          <w:lang w:val="en-US" w:eastAsia="zh-CN"/>
        </w:rPr>
        <w:t>培养课程</w:t>
      </w:r>
      <w:r>
        <w:rPr>
          <w:rFonts w:hint="eastAsia"/>
        </w:rPr>
        <w:t>、</w:t>
      </w:r>
      <w:r>
        <w:rPr>
          <w:rFonts w:hint="eastAsia"/>
          <w:lang w:val="en-US" w:eastAsia="zh-CN"/>
        </w:rPr>
        <w:t>考核</w:t>
      </w:r>
      <w:r>
        <w:rPr>
          <w:rFonts w:hint="eastAsia"/>
        </w:rPr>
        <w:t>评价等</w:t>
      </w:r>
      <w:r>
        <w:rPr>
          <w:rFonts w:hint="eastAsia"/>
          <w:lang w:val="en-US" w:eastAsia="zh-CN"/>
        </w:rPr>
        <w:t>数据进行可视化显示；</w:t>
      </w:r>
    </w:p>
    <w:p>
      <w:pPr>
        <w:pStyle w:val="57"/>
        <w:adjustRightInd w:val="0"/>
        <w:snapToGrid w:val="0"/>
        <w:ind w:firstLine="420"/>
        <w:rPr>
          <w:rFonts w:hint="default"/>
          <w:lang w:val="en-US" w:eastAsia="zh-CN"/>
        </w:rPr>
      </w:pPr>
      <w:r>
        <w:rPr>
          <w:rFonts w:hint="eastAsia"/>
          <w:lang w:val="en-US" w:eastAsia="zh-CN"/>
        </w:rPr>
        <w:t>——根据培养计划，利用统计分析图形，展示培养对象目前已完成的项目进度、未完成的项目进度，并根据不同场所的评价数据生成对培养对象的综合评价报告；</w:t>
      </w:r>
    </w:p>
    <w:p>
      <w:pPr>
        <w:pStyle w:val="57"/>
        <w:ind w:firstLine="420"/>
        <w:rPr>
          <w:rFonts w:hint="eastAsia"/>
          <w:lang w:val="en-US" w:eastAsia="zh-CN"/>
        </w:rPr>
      </w:pPr>
      <w:r>
        <w:rPr>
          <w:rFonts w:hint="eastAsia"/>
        </w:rPr>
        <w:t>——分析和诊断</w:t>
      </w:r>
      <w:r>
        <w:rPr>
          <w:rFonts w:hint="eastAsia"/>
          <w:lang w:val="en-US" w:eastAsia="zh-CN"/>
        </w:rPr>
        <w:t>培养对象</w:t>
      </w:r>
      <w:r>
        <w:rPr>
          <w:rFonts w:hint="eastAsia"/>
        </w:rPr>
        <w:t>在</w:t>
      </w:r>
      <w:r>
        <w:rPr>
          <w:rFonts w:hint="eastAsia"/>
          <w:lang w:val="en-US" w:eastAsia="zh-CN"/>
        </w:rPr>
        <w:t>不同培养场所内</w:t>
      </w:r>
      <w:r>
        <w:rPr>
          <w:rFonts w:hint="eastAsia"/>
        </w:rPr>
        <w:t>的培养状态信息，可生成学员的学习曲线，生成包括课程评价、学徒评价、部门评价等信息的综合评价报告；</w:t>
      </w:r>
      <w:r>
        <w:rPr>
          <w:rFonts w:hint="eastAsia"/>
          <w:lang w:val="en-US" w:eastAsia="zh-CN"/>
        </w:rPr>
        <w:t>结合综合评价报告</w:t>
      </w:r>
      <w:r>
        <w:rPr>
          <w:rFonts w:hint="eastAsia"/>
        </w:rPr>
        <w:t>，可对</w:t>
      </w:r>
      <w:r>
        <w:rPr>
          <w:rFonts w:hint="eastAsia"/>
          <w:lang w:val="en-US" w:eastAsia="zh-CN"/>
        </w:rPr>
        <w:t>培养对象</w:t>
      </w:r>
      <w:r>
        <w:rPr>
          <w:rFonts w:hint="eastAsia"/>
        </w:rPr>
        <w:t>的就业趋势、职业规划等提供数据</w:t>
      </w:r>
      <w:r>
        <w:rPr>
          <w:rFonts w:hint="eastAsia"/>
          <w:lang w:val="en-US" w:eastAsia="zh-CN"/>
        </w:rPr>
        <w:t>支持。</w:t>
      </w:r>
    </w:p>
    <w:p>
      <w:pPr>
        <w:pStyle w:val="66"/>
        <w:numPr>
          <w:ilvl w:val="3"/>
          <w:numId w:val="0"/>
        </w:numPr>
        <w:spacing w:before="156" w:after="156"/>
        <w:ind w:leftChars="0"/>
        <w:jc w:val="left"/>
        <w:rPr>
          <w:rFonts w:hint="default" w:cs="Times New Roman"/>
          <w:lang w:val="en-US" w:eastAsia="zh-CN"/>
        </w:rPr>
      </w:pPr>
      <w:r>
        <w:rPr>
          <w:rFonts w:hint="eastAsia" w:cs="Times New Roman"/>
          <w:lang w:val="en-US" w:eastAsia="zh-CN"/>
        </w:rPr>
        <w:t>6.2  项目发展</w:t>
      </w:r>
    </w:p>
    <w:p>
      <w:pPr>
        <w:pStyle w:val="57"/>
        <w:ind w:firstLine="420"/>
      </w:pPr>
      <w:r>
        <w:rPr>
          <w:rFonts w:hint="eastAsia"/>
        </w:rPr>
        <w:t>对职业院校、培训中心、企业，</w:t>
      </w:r>
      <w:r>
        <w:rPr>
          <w:rFonts w:hint="eastAsia"/>
          <w:lang w:val="en-US" w:eastAsia="zh-CN"/>
        </w:rPr>
        <w:t>宜</w:t>
      </w:r>
      <w:r>
        <w:rPr>
          <w:rFonts w:hint="eastAsia"/>
        </w:rPr>
        <w:t>：</w:t>
      </w:r>
    </w:p>
    <w:p>
      <w:pPr>
        <w:pStyle w:val="57"/>
        <w:ind w:firstLine="420"/>
        <w:rPr>
          <w:rFonts w:hint="eastAsia"/>
        </w:rPr>
      </w:pPr>
      <w:r>
        <w:rPr>
          <w:rFonts w:hint="eastAsia"/>
        </w:rPr>
        <w:t>——展示</w:t>
      </w:r>
      <w:r>
        <w:rPr>
          <w:rFonts w:hint="eastAsia"/>
          <w:lang w:val="en-US" w:eastAsia="zh-CN"/>
        </w:rPr>
        <w:t>培养对象</w:t>
      </w:r>
      <w:r>
        <w:rPr>
          <w:rFonts w:hint="eastAsia"/>
        </w:rPr>
        <w:t>各阶段的培养计划，为职业院校、培训中心、企业的教学管理、资源分配等提供参考依据；</w:t>
      </w:r>
    </w:p>
    <w:p>
      <w:pPr>
        <w:pStyle w:val="57"/>
        <w:adjustRightInd w:val="0"/>
        <w:snapToGrid w:val="0"/>
        <w:ind w:firstLine="420"/>
      </w:pPr>
      <w:r>
        <w:rPr>
          <w:rFonts w:hint="eastAsia"/>
        </w:rPr>
        <w:t>——对</w:t>
      </w:r>
      <w:r>
        <w:rPr>
          <w:rFonts w:hint="eastAsia"/>
          <w:lang w:val="en-US" w:eastAsia="zh-CN"/>
        </w:rPr>
        <w:t>培养对象</w:t>
      </w:r>
      <w:r>
        <w:rPr>
          <w:rFonts w:hint="eastAsia"/>
        </w:rPr>
        <w:t>所在的培养阶段、培养场所进行</w:t>
      </w:r>
      <w:r>
        <w:rPr>
          <w:rFonts w:hint="eastAsia"/>
          <w:lang w:eastAsia="zh-CN"/>
        </w:rPr>
        <w:t>自动</w:t>
      </w:r>
      <w:r>
        <w:rPr>
          <w:rFonts w:hint="eastAsia"/>
        </w:rPr>
        <w:t>识别，对其已完成培养任务、未完成培养任务等进行全过程的识别分析，</w:t>
      </w:r>
      <w:r>
        <w:rPr>
          <w:rFonts w:hint="eastAsia"/>
          <w:lang w:val="en-US" w:eastAsia="zh-CN"/>
        </w:rPr>
        <w:t>对其学习过程及考核评价数据进行</w:t>
      </w:r>
      <w:r>
        <w:rPr>
          <w:rFonts w:hint="eastAsia"/>
        </w:rPr>
        <w:t>统计</w:t>
      </w:r>
      <w:r>
        <w:rPr>
          <w:rFonts w:hint="eastAsia"/>
          <w:lang w:val="en-US" w:eastAsia="zh-CN"/>
        </w:rPr>
        <w:t>分析</w:t>
      </w:r>
      <w:r>
        <w:rPr>
          <w:rFonts w:hint="eastAsia"/>
        </w:rPr>
        <w:t>，以上数据</w:t>
      </w:r>
      <w:r>
        <w:rPr>
          <w:rFonts w:hint="eastAsia"/>
          <w:lang w:val="en-US" w:eastAsia="zh-CN"/>
        </w:rPr>
        <w:t>宜进行</w:t>
      </w:r>
      <w:r>
        <w:rPr>
          <w:rFonts w:hint="eastAsia"/>
        </w:rPr>
        <w:t>可视化展现，为职业院校、企业进行下一阶段的资源分配、教学管理等提供参考；</w:t>
      </w:r>
    </w:p>
    <w:p>
      <w:pPr>
        <w:pStyle w:val="57"/>
        <w:adjustRightInd w:val="0"/>
        <w:snapToGrid w:val="0"/>
        <w:ind w:firstLine="420"/>
        <w:rPr>
          <w:rFonts w:hint="eastAsia"/>
        </w:rPr>
      </w:pPr>
      <w:r>
        <w:rPr>
          <w:rFonts w:hint="eastAsia"/>
        </w:rPr>
        <w:t>——</w:t>
      </w:r>
      <w:r>
        <w:rPr>
          <w:rFonts w:hint="eastAsia"/>
          <w:lang w:val="en-US" w:eastAsia="zh-CN"/>
        </w:rPr>
        <w:t>对接</w:t>
      </w:r>
      <w:r>
        <w:rPr>
          <w:rFonts w:hint="eastAsia"/>
        </w:rPr>
        <w:t>教务系统、就业系统、培训中心系统、企业实习系统等数据</w:t>
      </w:r>
      <w:r>
        <w:rPr>
          <w:rFonts w:hint="eastAsia"/>
          <w:lang w:val="en-US" w:eastAsia="zh-CN"/>
        </w:rPr>
        <w:t>资源</w:t>
      </w:r>
      <w:r>
        <w:rPr>
          <w:rFonts w:hint="eastAsia"/>
        </w:rPr>
        <w:t>，对某一双元制项目可进行全过程数据诊断，评估</w:t>
      </w:r>
      <w:r>
        <w:rPr>
          <w:rFonts w:hint="eastAsia"/>
          <w:lang w:val="en-US" w:eastAsia="zh-CN"/>
        </w:rPr>
        <w:t>该</w:t>
      </w:r>
      <w:r>
        <w:rPr>
          <w:rFonts w:hint="eastAsia"/>
        </w:rPr>
        <w:t>双元制项目的培养效果</w:t>
      </w:r>
      <w:r>
        <w:rPr>
          <w:rFonts w:hint="eastAsia"/>
          <w:lang w:val="en-US" w:eastAsia="zh-CN"/>
        </w:rPr>
        <w:t>并进行可视化展示</w:t>
      </w:r>
      <w:r>
        <w:rPr>
          <w:rFonts w:hint="eastAsia"/>
        </w:rPr>
        <w:t>，为双元制项目建设和发展的决策提供有力的数据支撑。</w:t>
      </w:r>
    </w:p>
    <w:bookmarkEnd w:id="96"/>
    <w:bookmarkEnd w:id="97"/>
    <w:bookmarkEnd w:id="98"/>
    <w:bookmarkEnd w:id="99"/>
    <w:bookmarkEnd w:id="100"/>
    <w:bookmarkEnd w:id="101"/>
    <w:bookmarkEnd w:id="102"/>
    <w:p>
      <w:pPr>
        <w:pStyle w:val="66"/>
        <w:numPr>
          <w:ilvl w:val="3"/>
          <w:numId w:val="0"/>
        </w:numPr>
        <w:adjustRightInd w:val="0"/>
        <w:snapToGrid w:val="0"/>
        <w:spacing w:before="156" w:after="156"/>
        <w:ind w:leftChars="0"/>
      </w:pPr>
      <w:r>
        <w:rPr>
          <w:rFonts w:hint="eastAsia"/>
          <w:lang w:val="en-US" w:eastAsia="zh-CN"/>
        </w:rPr>
        <w:t xml:space="preserve">6.3 </w:t>
      </w:r>
      <w:r>
        <w:rPr>
          <w:rFonts w:hint="eastAsia"/>
        </w:rPr>
        <w:t>信息发布</w:t>
      </w:r>
    </w:p>
    <w:p>
      <w:pPr>
        <w:pStyle w:val="57"/>
        <w:adjustRightInd w:val="0"/>
        <w:snapToGrid w:val="0"/>
        <w:ind w:firstLine="420"/>
        <w:rPr>
          <w:rFonts w:hint="eastAsia"/>
        </w:rPr>
      </w:pPr>
      <w:r>
        <w:rPr>
          <w:rFonts w:hint="eastAsia"/>
          <w:lang w:val="en-US" w:eastAsia="zh-CN"/>
        </w:rPr>
        <w:t>宜</w:t>
      </w:r>
      <w:r>
        <w:rPr>
          <w:rFonts w:hint="eastAsia"/>
        </w:rPr>
        <w:t>提供包括</w:t>
      </w:r>
      <w:r>
        <w:rPr>
          <w:rFonts w:hint="eastAsia"/>
          <w:lang w:val="en-US" w:eastAsia="zh-CN"/>
        </w:rPr>
        <w:t>校企合作情况、</w:t>
      </w:r>
      <w:r>
        <w:rPr>
          <w:rFonts w:hint="eastAsia"/>
        </w:rPr>
        <w:t>双元制项目</w:t>
      </w:r>
      <w:r>
        <w:rPr>
          <w:rFonts w:hint="eastAsia"/>
          <w:lang w:val="en-US" w:eastAsia="zh-CN"/>
        </w:rPr>
        <w:t>动态</w:t>
      </w:r>
      <w:r>
        <w:rPr>
          <w:rFonts w:hint="eastAsia"/>
        </w:rPr>
        <w:t>、</w:t>
      </w:r>
      <w:r>
        <w:rPr>
          <w:rFonts w:hint="eastAsia"/>
          <w:lang w:val="en-US" w:eastAsia="zh-CN"/>
        </w:rPr>
        <w:t>企业岗位招聘</w:t>
      </w:r>
      <w:r>
        <w:rPr>
          <w:rFonts w:hint="eastAsia"/>
        </w:rPr>
        <w:t>等信息发布服务。</w:t>
      </w:r>
    </w:p>
    <w:p>
      <w:pPr>
        <w:pStyle w:val="105"/>
        <w:numPr>
          <w:ilvl w:val="1"/>
          <w:numId w:val="0"/>
        </w:numPr>
        <w:adjustRightInd w:val="0"/>
        <w:snapToGrid w:val="0"/>
        <w:spacing w:before="312" w:after="312"/>
        <w:ind w:leftChars="0"/>
        <w:rPr>
          <w:rFonts w:hint="eastAsia"/>
          <w:lang w:val="en-US" w:eastAsia="zh-CN"/>
        </w:rPr>
      </w:pPr>
      <w:r>
        <w:rPr>
          <w:rFonts w:hint="eastAsia"/>
          <w:lang w:val="en-US" w:eastAsia="zh-CN"/>
        </w:rPr>
        <w:t>7 管理方式</w:t>
      </w:r>
    </w:p>
    <w:p>
      <w:pPr>
        <w:pStyle w:val="57"/>
        <w:rPr>
          <w:rFonts w:hint="default"/>
          <w:lang w:val="en-US" w:eastAsia="zh-CN"/>
        </w:rPr>
      </w:pPr>
      <w:r>
        <w:rPr>
          <w:rFonts w:hint="eastAsia"/>
          <w:lang w:val="en-US" w:eastAsia="zh-CN"/>
        </w:rPr>
        <w:t>宜利用大数据、云计算、人工智能、互联网、移动终端等新技术手段和载体，实现对双元制人才培养数据的数字化管理。</w:t>
      </w:r>
    </w:p>
    <w:bookmarkEnd w:id="93"/>
    <w:bookmarkEnd w:id="94"/>
    <w:bookmarkEnd w:id="95"/>
    <w:p>
      <w:pPr>
        <w:pStyle w:val="105"/>
        <w:numPr>
          <w:ilvl w:val="1"/>
          <w:numId w:val="0"/>
        </w:numPr>
        <w:adjustRightInd w:val="0"/>
        <w:snapToGrid w:val="0"/>
        <w:spacing w:before="312" w:after="312"/>
        <w:ind w:leftChars="0"/>
        <w:rPr>
          <w:rFonts w:hint="default"/>
          <w:lang w:val="en-US"/>
        </w:rPr>
      </w:pPr>
      <w:bookmarkStart w:id="134" w:name="_Toc113358977"/>
      <w:bookmarkStart w:id="135" w:name="_Toc113268962"/>
      <w:bookmarkStart w:id="136" w:name="_Toc113366082"/>
      <w:bookmarkStart w:id="137" w:name="_Toc113269013"/>
      <w:bookmarkStart w:id="138" w:name="_Toc113298708"/>
      <w:bookmarkStart w:id="139" w:name="_Toc113291839"/>
      <w:bookmarkStart w:id="140" w:name="_Toc113283553"/>
      <w:bookmarkStart w:id="141" w:name="_Toc113372705"/>
      <w:bookmarkStart w:id="142" w:name="_Toc113282288"/>
      <w:r>
        <w:rPr>
          <w:rFonts w:hint="eastAsia"/>
          <w:lang w:val="en-US" w:eastAsia="zh-CN"/>
        </w:rPr>
        <w:t xml:space="preserve">8 </w:t>
      </w:r>
      <w:bookmarkEnd w:id="134"/>
      <w:bookmarkEnd w:id="135"/>
      <w:bookmarkEnd w:id="136"/>
      <w:bookmarkEnd w:id="137"/>
      <w:bookmarkEnd w:id="138"/>
      <w:bookmarkEnd w:id="139"/>
      <w:bookmarkEnd w:id="140"/>
      <w:bookmarkEnd w:id="141"/>
      <w:bookmarkEnd w:id="142"/>
      <w:r>
        <w:rPr>
          <w:rFonts w:hint="eastAsia"/>
          <w:lang w:val="en-US" w:eastAsia="zh-CN"/>
        </w:rPr>
        <w:t>安全管理</w:t>
      </w:r>
    </w:p>
    <w:p>
      <w:pPr>
        <w:pStyle w:val="106"/>
        <w:numPr>
          <w:ilvl w:val="2"/>
          <w:numId w:val="0"/>
        </w:numPr>
        <w:spacing w:before="156" w:after="156"/>
        <w:ind w:leftChars="0"/>
        <w:jc w:val="left"/>
      </w:pPr>
      <w:bookmarkStart w:id="143" w:name="_Toc113358978"/>
      <w:bookmarkStart w:id="144" w:name="_Toc113372706"/>
      <w:bookmarkStart w:id="145" w:name="_Toc113366083"/>
      <w:bookmarkStart w:id="146" w:name="_Toc113298709"/>
      <w:bookmarkStart w:id="147" w:name="_Toc113268963"/>
      <w:bookmarkStart w:id="148" w:name="_Toc113282289"/>
      <w:bookmarkStart w:id="149" w:name="_Toc113269014"/>
      <w:bookmarkStart w:id="150" w:name="_Toc113029213"/>
      <w:bookmarkStart w:id="151" w:name="_Toc113029242"/>
      <w:bookmarkStart w:id="152" w:name="_Toc113283554"/>
      <w:bookmarkStart w:id="153" w:name="_Toc113291840"/>
      <w:r>
        <w:rPr>
          <w:rFonts w:hint="eastAsia"/>
          <w:lang w:val="en-US" w:eastAsia="zh-CN"/>
        </w:rPr>
        <w:t xml:space="preserve">8.1 </w:t>
      </w:r>
      <w:r>
        <w:rPr>
          <w:rFonts w:hint="eastAsia"/>
        </w:rPr>
        <w:t>设施设备管理</w:t>
      </w:r>
      <w:bookmarkEnd w:id="143"/>
      <w:bookmarkEnd w:id="144"/>
      <w:bookmarkEnd w:id="145"/>
      <w:bookmarkEnd w:id="146"/>
    </w:p>
    <w:p>
      <w:pPr>
        <w:pStyle w:val="57"/>
        <w:ind w:firstLine="420"/>
        <w:rPr>
          <w:rFonts w:hint="eastAsia"/>
          <w:lang w:val="en-US" w:eastAsia="zh-CN"/>
        </w:rPr>
      </w:pPr>
      <w:r>
        <w:rPr>
          <w:rFonts w:hint="eastAsia"/>
          <w:lang w:val="en-US" w:eastAsia="zh-CN"/>
        </w:rPr>
        <w:t>宜建立物联设施设备运维制度，对教学场所、培训中心的信息采集系统和设备进行实时监测，根据监测结果定期维护；宜对信息设备进行动态安全监测，开展信息设备安全评价等工作。</w:t>
      </w:r>
    </w:p>
    <w:p>
      <w:pPr>
        <w:pStyle w:val="106"/>
        <w:numPr>
          <w:ilvl w:val="2"/>
          <w:numId w:val="0"/>
        </w:numPr>
        <w:spacing w:before="156" w:after="156"/>
        <w:ind w:leftChars="0"/>
        <w:jc w:val="left"/>
        <w:rPr>
          <w:rFonts w:hint="eastAsia" w:cs="Times New Roman"/>
          <w:lang w:val="en-US" w:eastAsia="zh-CN"/>
        </w:rPr>
      </w:pPr>
      <w:bookmarkStart w:id="154" w:name="_Toc113366085"/>
      <w:bookmarkStart w:id="155" w:name="_Toc113298711"/>
      <w:bookmarkStart w:id="156" w:name="_Toc113372708"/>
      <w:bookmarkStart w:id="157" w:name="_Toc113358980"/>
      <w:r>
        <w:rPr>
          <w:rFonts w:hint="eastAsia" w:cs="Times New Roman"/>
          <w:lang w:val="en-US" w:eastAsia="zh-CN"/>
        </w:rPr>
        <w:t>8.2 数据库管理</w:t>
      </w:r>
      <w:bookmarkEnd w:id="147"/>
      <w:bookmarkEnd w:id="148"/>
      <w:bookmarkEnd w:id="149"/>
      <w:bookmarkEnd w:id="150"/>
      <w:bookmarkEnd w:id="151"/>
      <w:bookmarkEnd w:id="152"/>
      <w:bookmarkEnd w:id="153"/>
      <w:bookmarkEnd w:id="154"/>
      <w:bookmarkEnd w:id="155"/>
      <w:bookmarkEnd w:id="156"/>
      <w:bookmarkEnd w:id="157"/>
    </w:p>
    <w:p>
      <w:pPr>
        <w:pStyle w:val="57"/>
        <w:adjustRightInd w:val="0"/>
        <w:snapToGrid w:val="0"/>
        <w:ind w:firstLine="420"/>
        <w:rPr>
          <w:rFonts w:hint="default" w:eastAsia="宋体"/>
          <w:lang w:val="en-US" w:eastAsia="zh-CN"/>
        </w:rPr>
      </w:pPr>
      <w:r>
        <w:rPr>
          <w:rFonts w:hint="eastAsia"/>
          <w:lang w:val="en-US" w:eastAsia="zh-CN"/>
        </w:rPr>
        <w:t>职业院校、企业、培训中心宜</w:t>
      </w:r>
      <w:r>
        <w:rPr>
          <w:rFonts w:hint="eastAsia"/>
        </w:rPr>
        <w:t>配备开展数字化管理工作所需的软硬件资源，开展包括但不限于</w:t>
      </w:r>
      <w:r>
        <w:rPr>
          <w:rFonts w:hint="eastAsia"/>
          <w:lang w:val="en-US" w:eastAsia="zh-CN"/>
        </w:rPr>
        <w:t>对第5章内容的实时更新与维护。</w:t>
      </w:r>
    </w:p>
    <w:p>
      <w:pPr>
        <w:pStyle w:val="106"/>
        <w:numPr>
          <w:ilvl w:val="2"/>
          <w:numId w:val="0"/>
        </w:numPr>
        <w:spacing w:before="156" w:after="156"/>
        <w:ind w:leftChars="0"/>
        <w:jc w:val="left"/>
      </w:pPr>
      <w:bookmarkStart w:id="158" w:name="_Toc113268954"/>
      <w:bookmarkStart w:id="159" w:name="_Toc113283557"/>
      <w:bookmarkStart w:id="160" w:name="_Toc113291843"/>
      <w:bookmarkStart w:id="161" w:name="_Toc113269017"/>
      <w:bookmarkStart w:id="162" w:name="_Toc113366088"/>
      <w:bookmarkStart w:id="163" w:name="_Toc113372711"/>
      <w:bookmarkStart w:id="164" w:name="_Toc113358983"/>
      <w:bookmarkStart w:id="165" w:name="_Toc112615342"/>
      <w:bookmarkStart w:id="166" w:name="_Toc113298714"/>
      <w:bookmarkStart w:id="167" w:name="_Toc113029236"/>
      <w:bookmarkStart w:id="168" w:name="_Toc113282292"/>
      <w:bookmarkStart w:id="169" w:name="_Toc113029207"/>
      <w:r>
        <w:rPr>
          <w:rFonts w:hint="eastAsia"/>
          <w:lang w:val="en-US" w:eastAsia="zh-CN"/>
        </w:rPr>
        <w:t xml:space="preserve">8.3 </w:t>
      </w:r>
      <w:r>
        <w:rPr>
          <w:rFonts w:hint="eastAsia"/>
        </w:rPr>
        <w:t>人员管理</w:t>
      </w:r>
      <w:bookmarkEnd w:id="158"/>
      <w:bookmarkEnd w:id="159"/>
      <w:bookmarkEnd w:id="160"/>
      <w:bookmarkEnd w:id="161"/>
      <w:bookmarkEnd w:id="162"/>
      <w:bookmarkEnd w:id="163"/>
      <w:bookmarkEnd w:id="164"/>
      <w:bookmarkEnd w:id="165"/>
      <w:bookmarkEnd w:id="166"/>
      <w:bookmarkEnd w:id="167"/>
      <w:bookmarkEnd w:id="168"/>
      <w:bookmarkEnd w:id="169"/>
    </w:p>
    <w:p>
      <w:pPr>
        <w:pStyle w:val="166"/>
        <w:numPr>
          <w:ilvl w:val="3"/>
          <w:numId w:val="0"/>
        </w:numPr>
        <w:adjustRightInd w:val="0"/>
        <w:snapToGrid w:val="0"/>
        <w:ind w:leftChars="0" w:firstLine="420" w:firstLineChars="200"/>
      </w:pPr>
      <w:r>
        <w:rPr>
          <w:rFonts w:hint="eastAsia"/>
          <w:lang w:val="en-US" w:eastAsia="zh-CN"/>
        </w:rPr>
        <w:t>宜</w:t>
      </w:r>
      <w:r>
        <w:rPr>
          <w:rFonts w:hint="eastAsia"/>
        </w:rPr>
        <w:t>合理确定数字化管理岗位和岗位职责，明确分工</w:t>
      </w:r>
      <w:r>
        <w:rPr>
          <w:rFonts w:hint="eastAsia"/>
          <w:lang w:eastAsia="zh-CN"/>
        </w:rPr>
        <w:t>，</w:t>
      </w:r>
      <w:r>
        <w:rPr>
          <w:rFonts w:hint="eastAsia"/>
          <w:lang w:val="en-US" w:eastAsia="zh-CN"/>
        </w:rPr>
        <w:t>不定期开展</w:t>
      </w:r>
      <w:r>
        <w:rPr>
          <w:rFonts w:hint="eastAsia"/>
        </w:rPr>
        <w:t>数字化管理培训和考核，提升管理</w:t>
      </w:r>
      <w:r>
        <w:rPr>
          <w:rFonts w:hint="eastAsia"/>
          <w:lang w:val="en-US" w:eastAsia="zh-CN"/>
        </w:rPr>
        <w:t>人员</w:t>
      </w:r>
      <w:r>
        <w:rPr>
          <w:rFonts w:hint="eastAsia"/>
        </w:rPr>
        <w:t>水平。</w:t>
      </w:r>
    </w:p>
    <w:p>
      <w:pPr>
        <w:pStyle w:val="105"/>
        <w:numPr>
          <w:ilvl w:val="1"/>
          <w:numId w:val="0"/>
        </w:numPr>
        <w:spacing w:before="312" w:after="312"/>
        <w:ind w:leftChars="0"/>
        <w:rPr>
          <w:rFonts w:hint="eastAsia" w:eastAsia="黑体"/>
          <w:lang w:val="en-US" w:eastAsia="zh-CN"/>
        </w:rPr>
      </w:pPr>
      <w:r>
        <w:rPr>
          <w:rFonts w:hint="eastAsia"/>
          <w:lang w:val="en-US" w:eastAsia="zh-CN"/>
        </w:rPr>
        <w:t>8 反馈与改进</w:t>
      </w:r>
    </w:p>
    <w:p>
      <w:pPr>
        <w:pStyle w:val="106"/>
        <w:numPr>
          <w:ilvl w:val="2"/>
          <w:numId w:val="0"/>
        </w:numPr>
        <w:spacing w:before="156" w:after="156"/>
        <w:ind w:leftChars="0" w:firstLine="420" w:firstLineChars="200"/>
        <w:jc w:val="left"/>
        <w:rPr>
          <w:rFonts w:hint="eastAsia" w:ascii="宋体" w:hAnsi="Times New Roman" w:eastAsia="宋体" w:cs="Times New Roman"/>
          <w:b w:val="0"/>
          <w:bCs w:val="0"/>
          <w:sz w:val="21"/>
          <w:lang w:val="en-US" w:eastAsia="zh-CN" w:bidi="ar-SA"/>
        </w:rPr>
      </w:pPr>
      <w:r>
        <w:rPr>
          <w:rFonts w:hint="eastAsia" w:ascii="宋体" w:hAnsi="Times New Roman" w:eastAsia="宋体" w:cs="Times New Roman"/>
          <w:b w:val="0"/>
          <w:bCs w:val="0"/>
          <w:sz w:val="21"/>
          <w:lang w:val="en-US" w:eastAsia="zh-CN" w:bidi="ar-SA"/>
        </w:rPr>
        <w:t>每学期期末，职业院校、企业、培训中心宜组织</w:t>
      </w:r>
      <w:r>
        <w:rPr>
          <w:rFonts w:hint="eastAsia" w:ascii="宋体" w:eastAsia="宋体" w:cs="Times New Roman"/>
          <w:b w:val="0"/>
          <w:bCs w:val="0"/>
          <w:sz w:val="21"/>
          <w:lang w:val="en-US" w:eastAsia="zh-CN" w:bidi="ar-SA"/>
        </w:rPr>
        <w:t>教师、培训师、岗位师傅、学生等相关人员</w:t>
      </w:r>
      <w:r>
        <w:rPr>
          <w:rFonts w:hint="eastAsia" w:ascii="宋体" w:hAnsi="Times New Roman" w:eastAsia="宋体" w:cs="Times New Roman"/>
          <w:b w:val="0"/>
          <w:bCs w:val="0"/>
          <w:sz w:val="21"/>
          <w:lang w:val="en-US" w:eastAsia="zh-CN" w:bidi="ar-SA"/>
        </w:rPr>
        <w:t>对</w:t>
      </w:r>
      <w:r>
        <w:rPr>
          <w:rFonts w:hint="eastAsia" w:ascii="宋体" w:eastAsia="宋体" w:cs="Times New Roman"/>
          <w:b w:val="0"/>
          <w:bCs w:val="0"/>
          <w:sz w:val="21"/>
          <w:lang w:val="en-US" w:eastAsia="zh-CN" w:bidi="ar-SA"/>
        </w:rPr>
        <w:t>双元制项目人才培养的数字化管理工作</w:t>
      </w:r>
      <w:r>
        <w:rPr>
          <w:rFonts w:hint="eastAsia" w:ascii="宋体" w:hAnsi="Times New Roman" w:eastAsia="宋体" w:cs="Times New Roman"/>
          <w:b w:val="0"/>
          <w:bCs w:val="0"/>
          <w:sz w:val="21"/>
          <w:lang w:val="en-US" w:eastAsia="zh-CN" w:bidi="ar-SA"/>
        </w:rPr>
        <w:t>进行评价，并根据评价结果进行改进。</w:t>
      </w:r>
    </w:p>
    <w:p>
      <w:pPr>
        <w:pStyle w:val="163"/>
        <w:numPr>
          <w:ilvl w:val="0"/>
          <w:numId w:val="0"/>
        </w:numPr>
      </w:pPr>
    </w:p>
    <w:p>
      <w:pPr>
        <w:pStyle w:val="163"/>
        <w:numPr>
          <w:ilvl w:val="0"/>
          <w:numId w:val="0"/>
        </w:numPr>
      </w:pPr>
    </w:p>
    <w:bookmarkEnd w:id="21"/>
    <w:p>
      <w:pPr>
        <w:pStyle w:val="163"/>
        <w:numPr>
          <w:ilvl w:val="0"/>
          <w:numId w:val="0"/>
        </w:numPr>
        <w:jc w:val="center"/>
      </w:pPr>
      <w:bookmarkStart w:id="170" w:name="BookMark8"/>
      <w:r>
        <w:drawing>
          <wp:inline distT="0" distB="0" distL="114300" distR="114300">
            <wp:extent cx="1485900" cy="317500"/>
            <wp:effectExtent l="0" t="0" r="762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5"/>
                    <a:stretch>
                      <a:fillRect/>
                    </a:stretch>
                  </pic:blipFill>
                  <pic:spPr>
                    <a:xfrm>
                      <a:off x="0" y="0"/>
                      <a:ext cx="1485900" cy="317500"/>
                    </a:xfrm>
                    <a:prstGeom prst="rect">
                      <a:avLst/>
                    </a:prstGeom>
                    <a:noFill/>
                    <a:ln>
                      <a:noFill/>
                    </a:ln>
                  </pic:spPr>
                </pic:pic>
              </a:graphicData>
            </a:graphic>
          </wp:inline>
        </w:drawing>
      </w:r>
      <w:bookmarkEnd w:id="170"/>
    </w:p>
    <w:sectPr>
      <w:headerReference r:id="rId11" w:type="default"/>
      <w:footerReference r:id="rId12" w:type="default"/>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DB3205/T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hAnsi="等线" w:eastAsia="黑体"/>
        <w:b w:val="0"/>
        <w:i w:val="0"/>
        <w:sz w:val="21"/>
      </w:rPr>
    </w:lvl>
    <w:lvl w:ilvl="2" w:tentative="0">
      <w:start w:val="1"/>
      <w:numFmt w:val="decimal"/>
      <w:pStyle w:val="202"/>
      <w:suff w:val="nothing"/>
      <w:lvlText w:val="%10.%2.%3 "/>
      <w:lvlJc w:val="left"/>
      <w:pPr>
        <w:ind w:left="0" w:firstLine="0"/>
      </w:pPr>
      <w:rPr>
        <w:rFonts w:hint="eastAsia" w:ascii="黑体" w:hAnsi="等线" w:eastAsia="黑体"/>
        <w:b w:val="0"/>
        <w:i w:val="0"/>
        <w:sz w:val="21"/>
      </w:rPr>
    </w:lvl>
    <w:lvl w:ilvl="3" w:tentative="0">
      <w:start w:val="1"/>
      <w:numFmt w:val="decimal"/>
      <w:pStyle w:val="203"/>
      <w:suff w:val="nothing"/>
      <w:lvlText w:val="%10.%2.%3.%4 "/>
      <w:lvlJc w:val="left"/>
      <w:pPr>
        <w:ind w:left="0" w:firstLine="0"/>
      </w:pPr>
      <w:rPr>
        <w:rFonts w:hint="eastAsia" w:ascii="黑体" w:hAnsi="等线" w:eastAsia="黑体"/>
        <w:b w:val="0"/>
        <w:i w:val="0"/>
        <w:sz w:val="21"/>
      </w:rPr>
    </w:lvl>
    <w:lvl w:ilvl="4" w:tentative="0">
      <w:start w:val="1"/>
      <w:numFmt w:val="decimal"/>
      <w:pStyle w:val="204"/>
      <w:suff w:val="nothing"/>
      <w:lvlText w:val="%10.%2.%3.%4.%5 "/>
      <w:lvlJc w:val="left"/>
      <w:pPr>
        <w:ind w:left="0" w:firstLine="0"/>
      </w:pPr>
      <w:rPr>
        <w:rFonts w:hint="eastAsia" w:ascii="黑体" w:hAnsi="等线" w:eastAsia="黑体"/>
        <w:b w:val="0"/>
        <w:i w:val="0"/>
        <w:sz w:val="21"/>
      </w:rPr>
    </w:lvl>
    <w:lvl w:ilvl="5" w:tentative="0">
      <w:start w:val="1"/>
      <w:numFmt w:val="decimal"/>
      <w:pStyle w:val="205"/>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lang w:val="en-US"/>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1701"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F77813"/>
    <w:multiLevelType w:val="multilevel"/>
    <w:tmpl w:val="65F77813"/>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426"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4"/>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7"/>
  </w:num>
  <w:num w:numId="26">
    <w:abstractNumId w:val="28"/>
  </w:num>
  <w:num w:numId="27">
    <w:abstractNumId w:val="2"/>
  </w:num>
  <w:num w:numId="28">
    <w:abstractNumId w:val="4"/>
  </w:num>
  <w:num w:numId="29">
    <w:abstractNumId w:val="14"/>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dit="forms" w:enforcement="1" w:cryptProviderType="rsaFull" w:cryptAlgorithmClass="hash" w:cryptAlgorithmType="typeAny" w:cryptAlgorithmSid="4" w:cryptSpinCount="0" w:hash="f5glctvsj0xY071D//9iQUhDUso=" w:salt="woJVBUo48WLxKT5SGKl2lg=="/>
  <w:defaultTabStop w:val="420"/>
  <w:hyphenationZone w:val="36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ZWRjNDIxZGVjYWQwZGMzNTdiODcyOGMyOTllZDcifQ=="/>
  </w:docVars>
  <w:rsids>
    <w:rsidRoot w:val="00172A27"/>
    <w:rsid w:val="0000040A"/>
    <w:rsid w:val="00000A94"/>
    <w:rsid w:val="00001972"/>
    <w:rsid w:val="00001D9A"/>
    <w:rsid w:val="00003C33"/>
    <w:rsid w:val="00007B3A"/>
    <w:rsid w:val="000107E0"/>
    <w:rsid w:val="00011FDE"/>
    <w:rsid w:val="00012FFD"/>
    <w:rsid w:val="00014162"/>
    <w:rsid w:val="00014340"/>
    <w:rsid w:val="00016A9C"/>
    <w:rsid w:val="00021572"/>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988"/>
    <w:rsid w:val="00067F1E"/>
    <w:rsid w:val="00071CC0"/>
    <w:rsid w:val="00073C8C"/>
    <w:rsid w:val="000765FB"/>
    <w:rsid w:val="00077B64"/>
    <w:rsid w:val="00080A1C"/>
    <w:rsid w:val="00082317"/>
    <w:rsid w:val="00083D2C"/>
    <w:rsid w:val="00086AA1"/>
    <w:rsid w:val="00087A77"/>
    <w:rsid w:val="00090CA6"/>
    <w:rsid w:val="00092B8A"/>
    <w:rsid w:val="00092FB0"/>
    <w:rsid w:val="000934C5"/>
    <w:rsid w:val="00093D25"/>
    <w:rsid w:val="00093DAB"/>
    <w:rsid w:val="00094518"/>
    <w:rsid w:val="00094D73"/>
    <w:rsid w:val="00096D63"/>
    <w:rsid w:val="000A0B60"/>
    <w:rsid w:val="000A0EB8"/>
    <w:rsid w:val="000A19FC"/>
    <w:rsid w:val="000A296B"/>
    <w:rsid w:val="000A7311"/>
    <w:rsid w:val="000B060F"/>
    <w:rsid w:val="000B1592"/>
    <w:rsid w:val="000B1FF2"/>
    <w:rsid w:val="000B25B0"/>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7DF"/>
    <w:rsid w:val="000E4C9E"/>
    <w:rsid w:val="000E6FD7"/>
    <w:rsid w:val="000F06E1"/>
    <w:rsid w:val="000F0E3C"/>
    <w:rsid w:val="000F19D5"/>
    <w:rsid w:val="000F31B3"/>
    <w:rsid w:val="000F4AEA"/>
    <w:rsid w:val="000F633F"/>
    <w:rsid w:val="000F67E9"/>
    <w:rsid w:val="00104926"/>
    <w:rsid w:val="00104D20"/>
    <w:rsid w:val="00113B1E"/>
    <w:rsid w:val="0011711C"/>
    <w:rsid w:val="0012059C"/>
    <w:rsid w:val="00124233"/>
    <w:rsid w:val="00124E4F"/>
    <w:rsid w:val="001260B7"/>
    <w:rsid w:val="001265CB"/>
    <w:rsid w:val="001321C6"/>
    <w:rsid w:val="001325C4"/>
    <w:rsid w:val="00133010"/>
    <w:rsid w:val="001338EE"/>
    <w:rsid w:val="00133AAE"/>
    <w:rsid w:val="00135323"/>
    <w:rsid w:val="001356C4"/>
    <w:rsid w:val="00137751"/>
    <w:rsid w:val="00141114"/>
    <w:rsid w:val="00142969"/>
    <w:rsid w:val="00143F62"/>
    <w:rsid w:val="001446C2"/>
    <w:rsid w:val="001457E7"/>
    <w:rsid w:val="00145D9D"/>
    <w:rsid w:val="00146388"/>
    <w:rsid w:val="001529E5"/>
    <w:rsid w:val="001538B0"/>
    <w:rsid w:val="00153C7E"/>
    <w:rsid w:val="00156B25"/>
    <w:rsid w:val="00156E1A"/>
    <w:rsid w:val="00157894"/>
    <w:rsid w:val="00157B55"/>
    <w:rsid w:val="001642FA"/>
    <w:rsid w:val="001649EB"/>
    <w:rsid w:val="00164BAF"/>
    <w:rsid w:val="00164EE3"/>
    <w:rsid w:val="00164FA8"/>
    <w:rsid w:val="00165065"/>
    <w:rsid w:val="00165434"/>
    <w:rsid w:val="0016580B"/>
    <w:rsid w:val="00165F49"/>
    <w:rsid w:val="00166B88"/>
    <w:rsid w:val="0016770A"/>
    <w:rsid w:val="00170804"/>
    <w:rsid w:val="001708E9"/>
    <w:rsid w:val="00172A27"/>
    <w:rsid w:val="0017340B"/>
    <w:rsid w:val="00173FB1"/>
    <w:rsid w:val="00176DFD"/>
    <w:rsid w:val="001852C9"/>
    <w:rsid w:val="00190087"/>
    <w:rsid w:val="001913C4"/>
    <w:rsid w:val="0019348F"/>
    <w:rsid w:val="00193A07"/>
    <w:rsid w:val="00194781"/>
    <w:rsid w:val="00194C95"/>
    <w:rsid w:val="00195C34"/>
    <w:rsid w:val="00196EF5"/>
    <w:rsid w:val="001A1A53"/>
    <w:rsid w:val="001A234A"/>
    <w:rsid w:val="001A4CF3"/>
    <w:rsid w:val="001B06E8"/>
    <w:rsid w:val="001B5AA2"/>
    <w:rsid w:val="001B71D0"/>
    <w:rsid w:val="001B71EE"/>
    <w:rsid w:val="001B7FD7"/>
    <w:rsid w:val="001C04A8"/>
    <w:rsid w:val="001C2C03"/>
    <w:rsid w:val="001C42F7"/>
    <w:rsid w:val="001C49E5"/>
    <w:rsid w:val="001C4D11"/>
    <w:rsid w:val="001C680C"/>
    <w:rsid w:val="001C7FEA"/>
    <w:rsid w:val="001D0499"/>
    <w:rsid w:val="001D0BBE"/>
    <w:rsid w:val="001D0ED4"/>
    <w:rsid w:val="001D212F"/>
    <w:rsid w:val="001D29D7"/>
    <w:rsid w:val="001D2DE7"/>
    <w:rsid w:val="001D411C"/>
    <w:rsid w:val="001D7B24"/>
    <w:rsid w:val="001E06DD"/>
    <w:rsid w:val="001E1B6A"/>
    <w:rsid w:val="001E2484"/>
    <w:rsid w:val="001E3CC4"/>
    <w:rsid w:val="001E4882"/>
    <w:rsid w:val="001E73AB"/>
    <w:rsid w:val="001F092D"/>
    <w:rsid w:val="001F143A"/>
    <w:rsid w:val="001F1605"/>
    <w:rsid w:val="001F2508"/>
    <w:rsid w:val="001F4816"/>
    <w:rsid w:val="001F4EE9"/>
    <w:rsid w:val="001F69B4"/>
    <w:rsid w:val="001F70AC"/>
    <w:rsid w:val="001F77C7"/>
    <w:rsid w:val="00200183"/>
    <w:rsid w:val="00200333"/>
    <w:rsid w:val="0020107D"/>
    <w:rsid w:val="00202AA4"/>
    <w:rsid w:val="002031F7"/>
    <w:rsid w:val="002040E6"/>
    <w:rsid w:val="0020527B"/>
    <w:rsid w:val="00205F2C"/>
    <w:rsid w:val="00207B80"/>
    <w:rsid w:val="00210B15"/>
    <w:rsid w:val="0021380C"/>
    <w:rsid w:val="00213B0A"/>
    <w:rsid w:val="002142EA"/>
    <w:rsid w:val="0021743A"/>
    <w:rsid w:val="002204BB"/>
    <w:rsid w:val="002214FA"/>
    <w:rsid w:val="00221B79"/>
    <w:rsid w:val="00221C6B"/>
    <w:rsid w:val="002253A1"/>
    <w:rsid w:val="00225CF8"/>
    <w:rsid w:val="002264B6"/>
    <w:rsid w:val="0022794E"/>
    <w:rsid w:val="00233D64"/>
    <w:rsid w:val="0023482A"/>
    <w:rsid w:val="002359CB"/>
    <w:rsid w:val="00241FDB"/>
    <w:rsid w:val="00243540"/>
    <w:rsid w:val="0024497B"/>
    <w:rsid w:val="0024515B"/>
    <w:rsid w:val="00246021"/>
    <w:rsid w:val="0024663A"/>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022E"/>
    <w:rsid w:val="00281BB8"/>
    <w:rsid w:val="00281E9E"/>
    <w:rsid w:val="00282405"/>
    <w:rsid w:val="00282B75"/>
    <w:rsid w:val="00285170"/>
    <w:rsid w:val="00285361"/>
    <w:rsid w:val="00292D60"/>
    <w:rsid w:val="00293B30"/>
    <w:rsid w:val="00294D34"/>
    <w:rsid w:val="00294E3B"/>
    <w:rsid w:val="00295080"/>
    <w:rsid w:val="00296193"/>
    <w:rsid w:val="00296C66"/>
    <w:rsid w:val="00296EBE"/>
    <w:rsid w:val="00297358"/>
    <w:rsid w:val="002974E3"/>
    <w:rsid w:val="002A02D0"/>
    <w:rsid w:val="002A084B"/>
    <w:rsid w:val="002A0A2E"/>
    <w:rsid w:val="002A1260"/>
    <w:rsid w:val="002A1589"/>
    <w:rsid w:val="002A1608"/>
    <w:rsid w:val="002A25DC"/>
    <w:rsid w:val="002A3AAB"/>
    <w:rsid w:val="002A4CEA"/>
    <w:rsid w:val="002A5977"/>
    <w:rsid w:val="002A5A13"/>
    <w:rsid w:val="002A757F"/>
    <w:rsid w:val="002A7F44"/>
    <w:rsid w:val="002B0C40"/>
    <w:rsid w:val="002B1966"/>
    <w:rsid w:val="002B4508"/>
    <w:rsid w:val="002B55D5"/>
    <w:rsid w:val="002B5779"/>
    <w:rsid w:val="002B7332"/>
    <w:rsid w:val="002B7F51"/>
    <w:rsid w:val="002C006B"/>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EEF"/>
    <w:rsid w:val="00302F5F"/>
    <w:rsid w:val="0030441D"/>
    <w:rsid w:val="00306063"/>
    <w:rsid w:val="00313B85"/>
    <w:rsid w:val="00317988"/>
    <w:rsid w:val="00321D9C"/>
    <w:rsid w:val="003221B4"/>
    <w:rsid w:val="0032258D"/>
    <w:rsid w:val="00322E62"/>
    <w:rsid w:val="00324D13"/>
    <w:rsid w:val="00324D2A"/>
    <w:rsid w:val="00324EDD"/>
    <w:rsid w:val="003269B9"/>
    <w:rsid w:val="003331E4"/>
    <w:rsid w:val="0033655B"/>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45CD"/>
    <w:rsid w:val="00376713"/>
    <w:rsid w:val="00380794"/>
    <w:rsid w:val="00381815"/>
    <w:rsid w:val="003819AF"/>
    <w:rsid w:val="003820E9"/>
    <w:rsid w:val="003824EC"/>
    <w:rsid w:val="00382DE7"/>
    <w:rsid w:val="00384FFC"/>
    <w:rsid w:val="003872FC"/>
    <w:rsid w:val="00387ADC"/>
    <w:rsid w:val="00390020"/>
    <w:rsid w:val="003903D6"/>
    <w:rsid w:val="00390EE6"/>
    <w:rsid w:val="00390FAC"/>
    <w:rsid w:val="0039118F"/>
    <w:rsid w:val="00392AD7"/>
    <w:rsid w:val="003938D9"/>
    <w:rsid w:val="00393993"/>
    <w:rsid w:val="00394376"/>
    <w:rsid w:val="003943FF"/>
    <w:rsid w:val="00395700"/>
    <w:rsid w:val="003974EB"/>
    <w:rsid w:val="00397CC5"/>
    <w:rsid w:val="003A1582"/>
    <w:rsid w:val="003A2FE3"/>
    <w:rsid w:val="003A4077"/>
    <w:rsid w:val="003B09AD"/>
    <w:rsid w:val="003B1F18"/>
    <w:rsid w:val="003B451A"/>
    <w:rsid w:val="003B5BF0"/>
    <w:rsid w:val="003B60BF"/>
    <w:rsid w:val="003B6BE3"/>
    <w:rsid w:val="003C010C"/>
    <w:rsid w:val="003C0A6C"/>
    <w:rsid w:val="003C0B27"/>
    <w:rsid w:val="003C14F8"/>
    <w:rsid w:val="003C5A43"/>
    <w:rsid w:val="003D0519"/>
    <w:rsid w:val="003D0FF6"/>
    <w:rsid w:val="003D262C"/>
    <w:rsid w:val="003D46C8"/>
    <w:rsid w:val="003D6D61"/>
    <w:rsid w:val="003E091D"/>
    <w:rsid w:val="003E1C53"/>
    <w:rsid w:val="003E2923"/>
    <w:rsid w:val="003E2A69"/>
    <w:rsid w:val="003E2D49"/>
    <w:rsid w:val="003E2FD4"/>
    <w:rsid w:val="003E49F6"/>
    <w:rsid w:val="003E660F"/>
    <w:rsid w:val="003F0841"/>
    <w:rsid w:val="003F08AF"/>
    <w:rsid w:val="003F23D3"/>
    <w:rsid w:val="003F3F08"/>
    <w:rsid w:val="003F49F1"/>
    <w:rsid w:val="003F6272"/>
    <w:rsid w:val="00400E72"/>
    <w:rsid w:val="00401400"/>
    <w:rsid w:val="004038ED"/>
    <w:rsid w:val="00404869"/>
    <w:rsid w:val="00405884"/>
    <w:rsid w:val="0040658F"/>
    <w:rsid w:val="00407D39"/>
    <w:rsid w:val="0041477A"/>
    <w:rsid w:val="004167A3"/>
    <w:rsid w:val="0043185C"/>
    <w:rsid w:val="00431E7A"/>
    <w:rsid w:val="00432DAA"/>
    <w:rsid w:val="00434305"/>
    <w:rsid w:val="00435DF7"/>
    <w:rsid w:val="0044083F"/>
    <w:rsid w:val="00441AE7"/>
    <w:rsid w:val="004445C9"/>
    <w:rsid w:val="00445574"/>
    <w:rsid w:val="004467FB"/>
    <w:rsid w:val="00452D6B"/>
    <w:rsid w:val="00454484"/>
    <w:rsid w:val="0045517B"/>
    <w:rsid w:val="00462B3E"/>
    <w:rsid w:val="00463B77"/>
    <w:rsid w:val="00463C7B"/>
    <w:rsid w:val="004644A6"/>
    <w:rsid w:val="004659BD"/>
    <w:rsid w:val="00465D9B"/>
    <w:rsid w:val="00470775"/>
    <w:rsid w:val="004746B1"/>
    <w:rsid w:val="0047583F"/>
    <w:rsid w:val="00475DE8"/>
    <w:rsid w:val="00481C44"/>
    <w:rsid w:val="00484936"/>
    <w:rsid w:val="00485C89"/>
    <w:rsid w:val="00486BE3"/>
    <w:rsid w:val="004905E4"/>
    <w:rsid w:val="00490A89"/>
    <w:rsid w:val="00490AB4"/>
    <w:rsid w:val="00492F02"/>
    <w:rsid w:val="004939AE"/>
    <w:rsid w:val="004939DF"/>
    <w:rsid w:val="004A12DF"/>
    <w:rsid w:val="004A17E6"/>
    <w:rsid w:val="004A1BA8"/>
    <w:rsid w:val="004A4B57"/>
    <w:rsid w:val="004A63FA"/>
    <w:rsid w:val="004B0272"/>
    <w:rsid w:val="004B2701"/>
    <w:rsid w:val="004B2E1B"/>
    <w:rsid w:val="004B3AA8"/>
    <w:rsid w:val="004B3E72"/>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672"/>
    <w:rsid w:val="004E1C0A"/>
    <w:rsid w:val="004E2B06"/>
    <w:rsid w:val="004E30C5"/>
    <w:rsid w:val="004E4AA5"/>
    <w:rsid w:val="004E4AEE"/>
    <w:rsid w:val="004E59E3"/>
    <w:rsid w:val="004E67C0"/>
    <w:rsid w:val="004F391A"/>
    <w:rsid w:val="004F3CFB"/>
    <w:rsid w:val="004F6456"/>
    <w:rsid w:val="004F696E"/>
    <w:rsid w:val="004F6C71"/>
    <w:rsid w:val="00501139"/>
    <w:rsid w:val="0050220E"/>
    <w:rsid w:val="0050363E"/>
    <w:rsid w:val="005039BC"/>
    <w:rsid w:val="005043BB"/>
    <w:rsid w:val="00504A3D"/>
    <w:rsid w:val="00505767"/>
    <w:rsid w:val="005073F0"/>
    <w:rsid w:val="00510A7B"/>
    <w:rsid w:val="00512F6E"/>
    <w:rsid w:val="00513038"/>
    <w:rsid w:val="00514174"/>
    <w:rsid w:val="00514BDB"/>
    <w:rsid w:val="00516088"/>
    <w:rsid w:val="00516B0B"/>
    <w:rsid w:val="005220EC"/>
    <w:rsid w:val="00523F95"/>
    <w:rsid w:val="00524D65"/>
    <w:rsid w:val="00525A30"/>
    <w:rsid w:val="00525B16"/>
    <w:rsid w:val="005277BC"/>
    <w:rsid w:val="00531A3E"/>
    <w:rsid w:val="0053200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36B"/>
    <w:rsid w:val="005801E3"/>
    <w:rsid w:val="00580B97"/>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2C6A"/>
    <w:rsid w:val="005B4903"/>
    <w:rsid w:val="005B51CE"/>
    <w:rsid w:val="005B5885"/>
    <w:rsid w:val="005B5CD7"/>
    <w:rsid w:val="005B6CF6"/>
    <w:rsid w:val="005B7422"/>
    <w:rsid w:val="005C15FD"/>
    <w:rsid w:val="005C29B8"/>
    <w:rsid w:val="005C5F21"/>
    <w:rsid w:val="005C7156"/>
    <w:rsid w:val="005D0C75"/>
    <w:rsid w:val="005D4171"/>
    <w:rsid w:val="005D6A95"/>
    <w:rsid w:val="005D6B2C"/>
    <w:rsid w:val="005D6D9C"/>
    <w:rsid w:val="005D7590"/>
    <w:rsid w:val="005E2335"/>
    <w:rsid w:val="005E34CA"/>
    <w:rsid w:val="005E3C18"/>
    <w:rsid w:val="005E5CCB"/>
    <w:rsid w:val="005E6812"/>
    <w:rsid w:val="005E7881"/>
    <w:rsid w:val="005E78E0"/>
    <w:rsid w:val="005F0D9C"/>
    <w:rsid w:val="005F2507"/>
    <w:rsid w:val="005F284E"/>
    <w:rsid w:val="005F2A1E"/>
    <w:rsid w:val="005F4712"/>
    <w:rsid w:val="005F4FC2"/>
    <w:rsid w:val="005F6B2B"/>
    <w:rsid w:val="006015CE"/>
    <w:rsid w:val="0060356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6F09"/>
    <w:rsid w:val="006379F7"/>
    <w:rsid w:val="00637E4D"/>
    <w:rsid w:val="00640620"/>
    <w:rsid w:val="00640D41"/>
    <w:rsid w:val="00641A1F"/>
    <w:rsid w:val="006420E0"/>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57A"/>
    <w:rsid w:val="00695D22"/>
    <w:rsid w:val="006A07AA"/>
    <w:rsid w:val="006A25E5"/>
    <w:rsid w:val="006A2B46"/>
    <w:rsid w:val="006A336D"/>
    <w:rsid w:val="006A37B9"/>
    <w:rsid w:val="006B0014"/>
    <w:rsid w:val="006B0825"/>
    <w:rsid w:val="006B2672"/>
    <w:rsid w:val="006B46EB"/>
    <w:rsid w:val="006B54BF"/>
    <w:rsid w:val="006B5F44"/>
    <w:rsid w:val="006B5F90"/>
    <w:rsid w:val="006B62E4"/>
    <w:rsid w:val="006C1BBA"/>
    <w:rsid w:val="006C1D46"/>
    <w:rsid w:val="006C2079"/>
    <w:rsid w:val="006C5A62"/>
    <w:rsid w:val="006C5A9F"/>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6F6432"/>
    <w:rsid w:val="006F709A"/>
    <w:rsid w:val="007002C5"/>
    <w:rsid w:val="00704387"/>
    <w:rsid w:val="00707669"/>
    <w:rsid w:val="00711CBA"/>
    <w:rsid w:val="00711FB5"/>
    <w:rsid w:val="007129AE"/>
    <w:rsid w:val="00712A01"/>
    <w:rsid w:val="00714F58"/>
    <w:rsid w:val="00722FBF"/>
    <w:rsid w:val="00722FC2"/>
    <w:rsid w:val="00723561"/>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B00"/>
    <w:rsid w:val="007501A8"/>
    <w:rsid w:val="00750D61"/>
    <w:rsid w:val="00750EE1"/>
    <w:rsid w:val="00752B4D"/>
    <w:rsid w:val="00754738"/>
    <w:rsid w:val="00755402"/>
    <w:rsid w:val="00756B26"/>
    <w:rsid w:val="00756EDF"/>
    <w:rsid w:val="007600E3"/>
    <w:rsid w:val="00761462"/>
    <w:rsid w:val="00765C43"/>
    <w:rsid w:val="00765EFB"/>
    <w:rsid w:val="007664AD"/>
    <w:rsid w:val="007671CA"/>
    <w:rsid w:val="00767C61"/>
    <w:rsid w:val="0077008A"/>
    <w:rsid w:val="00771770"/>
    <w:rsid w:val="00773C1F"/>
    <w:rsid w:val="00774DA4"/>
    <w:rsid w:val="00776494"/>
    <w:rsid w:val="00776599"/>
    <w:rsid w:val="0078114B"/>
    <w:rsid w:val="00781DD2"/>
    <w:rsid w:val="00783ECF"/>
    <w:rsid w:val="0078413A"/>
    <w:rsid w:val="007959E8"/>
    <w:rsid w:val="00795E41"/>
    <w:rsid w:val="00795E9C"/>
    <w:rsid w:val="007A0521"/>
    <w:rsid w:val="007A2E12"/>
    <w:rsid w:val="007A3475"/>
    <w:rsid w:val="007A41C8"/>
    <w:rsid w:val="007A54CE"/>
    <w:rsid w:val="007A6FD9"/>
    <w:rsid w:val="007A7FFA"/>
    <w:rsid w:val="007B04EB"/>
    <w:rsid w:val="007B0D4F"/>
    <w:rsid w:val="007B530A"/>
    <w:rsid w:val="007B5A3D"/>
    <w:rsid w:val="007B5B95"/>
    <w:rsid w:val="007B6479"/>
    <w:rsid w:val="007B68EA"/>
    <w:rsid w:val="007B6A71"/>
    <w:rsid w:val="007B7453"/>
    <w:rsid w:val="007C1E8B"/>
    <w:rsid w:val="007C2D89"/>
    <w:rsid w:val="007C4593"/>
    <w:rsid w:val="007C5309"/>
    <w:rsid w:val="007C6069"/>
    <w:rsid w:val="007D06C4"/>
    <w:rsid w:val="007D1352"/>
    <w:rsid w:val="007D2508"/>
    <w:rsid w:val="007D346A"/>
    <w:rsid w:val="007D6518"/>
    <w:rsid w:val="007D76BD"/>
    <w:rsid w:val="007E0BF1"/>
    <w:rsid w:val="007E2068"/>
    <w:rsid w:val="007F0ED8"/>
    <w:rsid w:val="007F0F63"/>
    <w:rsid w:val="007F75CE"/>
    <w:rsid w:val="008013A4"/>
    <w:rsid w:val="008027CE"/>
    <w:rsid w:val="00802F42"/>
    <w:rsid w:val="00804383"/>
    <w:rsid w:val="00804BB7"/>
    <w:rsid w:val="00804D41"/>
    <w:rsid w:val="00805FD0"/>
    <w:rsid w:val="00810257"/>
    <w:rsid w:val="008104F5"/>
    <w:rsid w:val="00811072"/>
    <w:rsid w:val="00811369"/>
    <w:rsid w:val="00815419"/>
    <w:rsid w:val="0081629F"/>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258"/>
    <w:rsid w:val="00843C13"/>
    <w:rsid w:val="008454F8"/>
    <w:rsid w:val="00847300"/>
    <w:rsid w:val="0085173A"/>
    <w:rsid w:val="00856316"/>
    <w:rsid w:val="008603CE"/>
    <w:rsid w:val="00860E5E"/>
    <w:rsid w:val="008620FC"/>
    <w:rsid w:val="008624E7"/>
    <w:rsid w:val="008627A5"/>
    <w:rsid w:val="00863E05"/>
    <w:rsid w:val="00865ACA"/>
    <w:rsid w:val="00865D28"/>
    <w:rsid w:val="00865F85"/>
    <w:rsid w:val="00867C10"/>
    <w:rsid w:val="00870439"/>
    <w:rsid w:val="00870DA1"/>
    <w:rsid w:val="008761A4"/>
    <w:rsid w:val="0087723D"/>
    <w:rsid w:val="008838D7"/>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55"/>
    <w:rsid w:val="008A1893"/>
    <w:rsid w:val="008A2CBE"/>
    <w:rsid w:val="008A3215"/>
    <w:rsid w:val="008A57E6"/>
    <w:rsid w:val="008A6F81"/>
    <w:rsid w:val="008A769A"/>
    <w:rsid w:val="008B0C9C"/>
    <w:rsid w:val="008B166D"/>
    <w:rsid w:val="008B17F4"/>
    <w:rsid w:val="008B3615"/>
    <w:rsid w:val="008B4AC4"/>
    <w:rsid w:val="008B50C8"/>
    <w:rsid w:val="008B5281"/>
    <w:rsid w:val="008B7E05"/>
    <w:rsid w:val="008B7E97"/>
    <w:rsid w:val="008C1797"/>
    <w:rsid w:val="008C219C"/>
    <w:rsid w:val="008C2A4D"/>
    <w:rsid w:val="008C475E"/>
    <w:rsid w:val="008C55EC"/>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718"/>
    <w:rsid w:val="008F4C29"/>
    <w:rsid w:val="008F70BD"/>
    <w:rsid w:val="008F788F"/>
    <w:rsid w:val="008F7EA2"/>
    <w:rsid w:val="00900997"/>
    <w:rsid w:val="00902722"/>
    <w:rsid w:val="009027BC"/>
    <w:rsid w:val="009062E6"/>
    <w:rsid w:val="00911BE5"/>
    <w:rsid w:val="00913C47"/>
    <w:rsid w:val="00913CA9"/>
    <w:rsid w:val="009145AE"/>
    <w:rsid w:val="009146CE"/>
    <w:rsid w:val="00914CA7"/>
    <w:rsid w:val="00915C3E"/>
    <w:rsid w:val="009161A8"/>
    <w:rsid w:val="00923811"/>
    <w:rsid w:val="009245F5"/>
    <w:rsid w:val="009249EC"/>
    <w:rsid w:val="009273B3"/>
    <w:rsid w:val="009305B5"/>
    <w:rsid w:val="0093275B"/>
    <w:rsid w:val="00935F92"/>
    <w:rsid w:val="009429D5"/>
    <w:rsid w:val="00942BF1"/>
    <w:rsid w:val="00945180"/>
    <w:rsid w:val="00945428"/>
    <w:rsid w:val="0094607B"/>
    <w:rsid w:val="009477B1"/>
    <w:rsid w:val="00953604"/>
    <w:rsid w:val="0095496B"/>
    <w:rsid w:val="009610DC"/>
    <w:rsid w:val="00961490"/>
    <w:rsid w:val="0096381A"/>
    <w:rsid w:val="00965E04"/>
    <w:rsid w:val="00966AAF"/>
    <w:rsid w:val="009674AD"/>
    <w:rsid w:val="00970CDC"/>
    <w:rsid w:val="00973866"/>
    <w:rsid w:val="00975808"/>
    <w:rsid w:val="00977010"/>
    <w:rsid w:val="00977D02"/>
    <w:rsid w:val="009809BB"/>
    <w:rsid w:val="0098364B"/>
    <w:rsid w:val="009911AF"/>
    <w:rsid w:val="00991875"/>
    <w:rsid w:val="00991F92"/>
    <w:rsid w:val="00992985"/>
    <w:rsid w:val="00992EC4"/>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0BB3"/>
    <w:rsid w:val="009C27F1"/>
    <w:rsid w:val="009C3152"/>
    <w:rsid w:val="009C4CFA"/>
    <w:rsid w:val="009C5070"/>
    <w:rsid w:val="009C6BF5"/>
    <w:rsid w:val="009D112C"/>
    <w:rsid w:val="009D47FA"/>
    <w:rsid w:val="009D4C5B"/>
    <w:rsid w:val="009D50D2"/>
    <w:rsid w:val="009D6BCA"/>
    <w:rsid w:val="009E0F62"/>
    <w:rsid w:val="009E2E61"/>
    <w:rsid w:val="009E4A58"/>
    <w:rsid w:val="009E5A2D"/>
    <w:rsid w:val="009E5AB2"/>
    <w:rsid w:val="009E6219"/>
    <w:rsid w:val="009E7F93"/>
    <w:rsid w:val="009F020D"/>
    <w:rsid w:val="009F03B3"/>
    <w:rsid w:val="009F074A"/>
    <w:rsid w:val="00A0096C"/>
    <w:rsid w:val="00A010D7"/>
    <w:rsid w:val="00A01757"/>
    <w:rsid w:val="00A01F9A"/>
    <w:rsid w:val="00A028C0"/>
    <w:rsid w:val="00A02BAE"/>
    <w:rsid w:val="00A04833"/>
    <w:rsid w:val="00A06A6B"/>
    <w:rsid w:val="00A07E47"/>
    <w:rsid w:val="00A129D0"/>
    <w:rsid w:val="00A12C33"/>
    <w:rsid w:val="00A138BA"/>
    <w:rsid w:val="00A14C8E"/>
    <w:rsid w:val="00A153D9"/>
    <w:rsid w:val="00A15F09"/>
    <w:rsid w:val="00A169B6"/>
    <w:rsid w:val="00A2271D"/>
    <w:rsid w:val="00A237D5"/>
    <w:rsid w:val="00A240EC"/>
    <w:rsid w:val="00A30EFC"/>
    <w:rsid w:val="00A31984"/>
    <w:rsid w:val="00A32D73"/>
    <w:rsid w:val="00A3367B"/>
    <w:rsid w:val="00A3597D"/>
    <w:rsid w:val="00A36DD1"/>
    <w:rsid w:val="00A4006C"/>
    <w:rsid w:val="00A40091"/>
    <w:rsid w:val="00A4030F"/>
    <w:rsid w:val="00A41C79"/>
    <w:rsid w:val="00A41CB5"/>
    <w:rsid w:val="00A42CDF"/>
    <w:rsid w:val="00A442B1"/>
    <w:rsid w:val="00A4452E"/>
    <w:rsid w:val="00A4472C"/>
    <w:rsid w:val="00A44E69"/>
    <w:rsid w:val="00A4661E"/>
    <w:rsid w:val="00A52141"/>
    <w:rsid w:val="00A54B7B"/>
    <w:rsid w:val="00A55BD6"/>
    <w:rsid w:val="00A55D50"/>
    <w:rsid w:val="00A57142"/>
    <w:rsid w:val="00A648CD"/>
    <w:rsid w:val="00A6537A"/>
    <w:rsid w:val="00A67866"/>
    <w:rsid w:val="00A70B07"/>
    <w:rsid w:val="00A715E3"/>
    <w:rsid w:val="00A723F8"/>
    <w:rsid w:val="00A730E5"/>
    <w:rsid w:val="00A77CCB"/>
    <w:rsid w:val="00A8177A"/>
    <w:rsid w:val="00A83D8D"/>
    <w:rsid w:val="00A8446B"/>
    <w:rsid w:val="00A8473F"/>
    <w:rsid w:val="00A862D6"/>
    <w:rsid w:val="00A8715E"/>
    <w:rsid w:val="00A902E6"/>
    <w:rsid w:val="00A9183C"/>
    <w:rsid w:val="00A9295B"/>
    <w:rsid w:val="00A93B09"/>
    <w:rsid w:val="00A94247"/>
    <w:rsid w:val="00A952D7"/>
    <w:rsid w:val="00A963F7"/>
    <w:rsid w:val="00A96AD8"/>
    <w:rsid w:val="00AA052C"/>
    <w:rsid w:val="00AA0B83"/>
    <w:rsid w:val="00AA1E45"/>
    <w:rsid w:val="00AA226B"/>
    <w:rsid w:val="00AA4286"/>
    <w:rsid w:val="00AA456B"/>
    <w:rsid w:val="00AA57F5"/>
    <w:rsid w:val="00AA672E"/>
    <w:rsid w:val="00AA6EC9"/>
    <w:rsid w:val="00AB08C4"/>
    <w:rsid w:val="00AB41D5"/>
    <w:rsid w:val="00AB6309"/>
    <w:rsid w:val="00AB6C5F"/>
    <w:rsid w:val="00AB7129"/>
    <w:rsid w:val="00AC27A6"/>
    <w:rsid w:val="00AC30F7"/>
    <w:rsid w:val="00AC37AA"/>
    <w:rsid w:val="00AC3A5A"/>
    <w:rsid w:val="00AC4D95"/>
    <w:rsid w:val="00AC57BB"/>
    <w:rsid w:val="00AC5DF4"/>
    <w:rsid w:val="00AD0AEF"/>
    <w:rsid w:val="00AD11B7"/>
    <w:rsid w:val="00AD1A94"/>
    <w:rsid w:val="00AD1C05"/>
    <w:rsid w:val="00AD4126"/>
    <w:rsid w:val="00AD421C"/>
    <w:rsid w:val="00AD44FA"/>
    <w:rsid w:val="00AD7E80"/>
    <w:rsid w:val="00AE070A"/>
    <w:rsid w:val="00AE101C"/>
    <w:rsid w:val="00AE2339"/>
    <w:rsid w:val="00AE37E5"/>
    <w:rsid w:val="00AE5EB4"/>
    <w:rsid w:val="00AF0C18"/>
    <w:rsid w:val="00AF3568"/>
    <w:rsid w:val="00AF47C5"/>
    <w:rsid w:val="00AF4E0F"/>
    <w:rsid w:val="00AF5398"/>
    <w:rsid w:val="00AF66A0"/>
    <w:rsid w:val="00B0461E"/>
    <w:rsid w:val="00B049AF"/>
    <w:rsid w:val="00B04B88"/>
    <w:rsid w:val="00B07242"/>
    <w:rsid w:val="00B10534"/>
    <w:rsid w:val="00B113DB"/>
    <w:rsid w:val="00B11D8A"/>
    <w:rsid w:val="00B121D3"/>
    <w:rsid w:val="00B1268F"/>
    <w:rsid w:val="00B12981"/>
    <w:rsid w:val="00B13ADD"/>
    <w:rsid w:val="00B147DD"/>
    <w:rsid w:val="00B156FD"/>
    <w:rsid w:val="00B164D8"/>
    <w:rsid w:val="00B21F61"/>
    <w:rsid w:val="00B22904"/>
    <w:rsid w:val="00B234DA"/>
    <w:rsid w:val="00B261F1"/>
    <w:rsid w:val="00B265BC"/>
    <w:rsid w:val="00B27C1A"/>
    <w:rsid w:val="00B301D3"/>
    <w:rsid w:val="00B31FB1"/>
    <w:rsid w:val="00B33952"/>
    <w:rsid w:val="00B33C5E"/>
    <w:rsid w:val="00B342F4"/>
    <w:rsid w:val="00B34369"/>
    <w:rsid w:val="00B34DC2"/>
    <w:rsid w:val="00B3760A"/>
    <w:rsid w:val="00B378E5"/>
    <w:rsid w:val="00B37A6D"/>
    <w:rsid w:val="00B4049A"/>
    <w:rsid w:val="00B4346D"/>
    <w:rsid w:val="00B440F4"/>
    <w:rsid w:val="00B447A5"/>
    <w:rsid w:val="00B4654C"/>
    <w:rsid w:val="00B46CEF"/>
    <w:rsid w:val="00B47293"/>
    <w:rsid w:val="00B50E50"/>
    <w:rsid w:val="00B52120"/>
    <w:rsid w:val="00B5488F"/>
    <w:rsid w:val="00B54ABC"/>
    <w:rsid w:val="00B54DDE"/>
    <w:rsid w:val="00B56FBE"/>
    <w:rsid w:val="00B572BE"/>
    <w:rsid w:val="00B60ACF"/>
    <w:rsid w:val="00B6288B"/>
    <w:rsid w:val="00B62B58"/>
    <w:rsid w:val="00B6378E"/>
    <w:rsid w:val="00B65149"/>
    <w:rsid w:val="00B66567"/>
    <w:rsid w:val="00B66F52"/>
    <w:rsid w:val="00B66FE5"/>
    <w:rsid w:val="00B72880"/>
    <w:rsid w:val="00B73893"/>
    <w:rsid w:val="00B758BF"/>
    <w:rsid w:val="00B7789A"/>
    <w:rsid w:val="00B77EC8"/>
    <w:rsid w:val="00B827A6"/>
    <w:rsid w:val="00B831CE"/>
    <w:rsid w:val="00B83F19"/>
    <w:rsid w:val="00B86677"/>
    <w:rsid w:val="00B87131"/>
    <w:rsid w:val="00B91E22"/>
    <w:rsid w:val="00B939B1"/>
    <w:rsid w:val="00B96D40"/>
    <w:rsid w:val="00B97386"/>
    <w:rsid w:val="00BA263B"/>
    <w:rsid w:val="00BA42B2"/>
    <w:rsid w:val="00BA58D4"/>
    <w:rsid w:val="00BA5B9E"/>
    <w:rsid w:val="00BA7C9A"/>
    <w:rsid w:val="00BB551E"/>
    <w:rsid w:val="00BB5F8F"/>
    <w:rsid w:val="00BB657A"/>
    <w:rsid w:val="00BC1A4E"/>
    <w:rsid w:val="00BC4DD8"/>
    <w:rsid w:val="00BC5DC7"/>
    <w:rsid w:val="00BC6B8B"/>
    <w:rsid w:val="00BC73D8"/>
    <w:rsid w:val="00BD52D7"/>
    <w:rsid w:val="00BD5AD2"/>
    <w:rsid w:val="00BE22F3"/>
    <w:rsid w:val="00BE3A88"/>
    <w:rsid w:val="00BE474A"/>
    <w:rsid w:val="00BE5B52"/>
    <w:rsid w:val="00BE68DE"/>
    <w:rsid w:val="00BE7B8D"/>
    <w:rsid w:val="00BF0993"/>
    <w:rsid w:val="00BF10A9"/>
    <w:rsid w:val="00BF1703"/>
    <w:rsid w:val="00BF231C"/>
    <w:rsid w:val="00BF51E5"/>
    <w:rsid w:val="00BF74A6"/>
    <w:rsid w:val="00C013AD"/>
    <w:rsid w:val="00C04904"/>
    <w:rsid w:val="00C056B3"/>
    <w:rsid w:val="00C103E5"/>
    <w:rsid w:val="00C13319"/>
    <w:rsid w:val="00C13EE9"/>
    <w:rsid w:val="00C146D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0"/>
    <w:rsid w:val="00C55A06"/>
    <w:rsid w:val="00C55D03"/>
    <w:rsid w:val="00C601BC"/>
    <w:rsid w:val="00C62C0D"/>
    <w:rsid w:val="00C6329F"/>
    <w:rsid w:val="00C63340"/>
    <w:rsid w:val="00C63F7D"/>
    <w:rsid w:val="00C643F9"/>
    <w:rsid w:val="00C64E95"/>
    <w:rsid w:val="00C66CA5"/>
    <w:rsid w:val="00C71372"/>
    <w:rsid w:val="00C72410"/>
    <w:rsid w:val="00C7287F"/>
    <w:rsid w:val="00C742F4"/>
    <w:rsid w:val="00C76D30"/>
    <w:rsid w:val="00C80CB8"/>
    <w:rsid w:val="00C819F8"/>
    <w:rsid w:val="00C8248C"/>
    <w:rsid w:val="00C84E33"/>
    <w:rsid w:val="00C86662"/>
    <w:rsid w:val="00C86D6F"/>
    <w:rsid w:val="00C90197"/>
    <w:rsid w:val="00C905FC"/>
    <w:rsid w:val="00C9128E"/>
    <w:rsid w:val="00C9152C"/>
    <w:rsid w:val="00C92D03"/>
    <w:rsid w:val="00C92F4A"/>
    <w:rsid w:val="00C92FA7"/>
    <w:rsid w:val="00C9319C"/>
    <w:rsid w:val="00C9435D"/>
    <w:rsid w:val="00C94DF2"/>
    <w:rsid w:val="00C96741"/>
    <w:rsid w:val="00CA2D1B"/>
    <w:rsid w:val="00CA375D"/>
    <w:rsid w:val="00CA662A"/>
    <w:rsid w:val="00CA7AFD"/>
    <w:rsid w:val="00CA7C3C"/>
    <w:rsid w:val="00CB0189"/>
    <w:rsid w:val="00CB0BA2"/>
    <w:rsid w:val="00CB0FFB"/>
    <w:rsid w:val="00CB19A6"/>
    <w:rsid w:val="00CB1A42"/>
    <w:rsid w:val="00CB1B0C"/>
    <w:rsid w:val="00CB2C0B"/>
    <w:rsid w:val="00CB49A6"/>
    <w:rsid w:val="00CB517D"/>
    <w:rsid w:val="00CB53FD"/>
    <w:rsid w:val="00CC038D"/>
    <w:rsid w:val="00CC03AE"/>
    <w:rsid w:val="00CC08DB"/>
    <w:rsid w:val="00CC39FF"/>
    <w:rsid w:val="00CC3C2F"/>
    <w:rsid w:val="00CC4AC8"/>
    <w:rsid w:val="00CC4D9C"/>
    <w:rsid w:val="00CC5233"/>
    <w:rsid w:val="00CC5DE6"/>
    <w:rsid w:val="00CC6E4E"/>
    <w:rsid w:val="00CC6FE8"/>
    <w:rsid w:val="00CC7202"/>
    <w:rsid w:val="00CD2808"/>
    <w:rsid w:val="00CD28BF"/>
    <w:rsid w:val="00CD4092"/>
    <w:rsid w:val="00CD4A20"/>
    <w:rsid w:val="00CD50A1"/>
    <w:rsid w:val="00CD519E"/>
    <w:rsid w:val="00CD7E12"/>
    <w:rsid w:val="00CE0C4F"/>
    <w:rsid w:val="00CE30EA"/>
    <w:rsid w:val="00CF048A"/>
    <w:rsid w:val="00CF155A"/>
    <w:rsid w:val="00CF2947"/>
    <w:rsid w:val="00CF686F"/>
    <w:rsid w:val="00CF6E60"/>
    <w:rsid w:val="00CF7BCA"/>
    <w:rsid w:val="00D008FD"/>
    <w:rsid w:val="00D0321C"/>
    <w:rsid w:val="00D035EC"/>
    <w:rsid w:val="00D05CB1"/>
    <w:rsid w:val="00D06AB1"/>
    <w:rsid w:val="00D072ED"/>
    <w:rsid w:val="00D07A16"/>
    <w:rsid w:val="00D1067E"/>
    <w:rsid w:val="00D10F50"/>
    <w:rsid w:val="00D11272"/>
    <w:rsid w:val="00D126F5"/>
    <w:rsid w:val="00D144AA"/>
    <w:rsid w:val="00D1489E"/>
    <w:rsid w:val="00D20737"/>
    <w:rsid w:val="00D21E81"/>
    <w:rsid w:val="00D223DE"/>
    <w:rsid w:val="00D25E37"/>
    <w:rsid w:val="00D2661A"/>
    <w:rsid w:val="00D27582"/>
    <w:rsid w:val="00D27EC4"/>
    <w:rsid w:val="00D32719"/>
    <w:rsid w:val="00D32E86"/>
    <w:rsid w:val="00D33333"/>
    <w:rsid w:val="00D33457"/>
    <w:rsid w:val="00D352A2"/>
    <w:rsid w:val="00D3682A"/>
    <w:rsid w:val="00D4162B"/>
    <w:rsid w:val="00D4514F"/>
    <w:rsid w:val="00D451E2"/>
    <w:rsid w:val="00D452CB"/>
    <w:rsid w:val="00D45E89"/>
    <w:rsid w:val="00D45E8D"/>
    <w:rsid w:val="00D466AE"/>
    <w:rsid w:val="00D4734F"/>
    <w:rsid w:val="00D51BF3"/>
    <w:rsid w:val="00D547F1"/>
    <w:rsid w:val="00D66846"/>
    <w:rsid w:val="00D675FB"/>
    <w:rsid w:val="00D71F25"/>
    <w:rsid w:val="00D72833"/>
    <w:rsid w:val="00D72A9C"/>
    <w:rsid w:val="00D77031"/>
    <w:rsid w:val="00D841AE"/>
    <w:rsid w:val="00D84941"/>
    <w:rsid w:val="00D84FA1"/>
    <w:rsid w:val="00D851F0"/>
    <w:rsid w:val="00D86DB7"/>
    <w:rsid w:val="00D926D0"/>
    <w:rsid w:val="00D93030"/>
    <w:rsid w:val="00D93E62"/>
    <w:rsid w:val="00D950E1"/>
    <w:rsid w:val="00D952A6"/>
    <w:rsid w:val="00D9561A"/>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061B"/>
    <w:rsid w:val="00DC3067"/>
    <w:rsid w:val="00DC370B"/>
    <w:rsid w:val="00DC5B90"/>
    <w:rsid w:val="00DC6E2E"/>
    <w:rsid w:val="00DC7F7D"/>
    <w:rsid w:val="00DD00FF"/>
    <w:rsid w:val="00DD0619"/>
    <w:rsid w:val="00DD07FB"/>
    <w:rsid w:val="00DD25C6"/>
    <w:rsid w:val="00DD4877"/>
    <w:rsid w:val="00DD4A87"/>
    <w:rsid w:val="00DD4AE7"/>
    <w:rsid w:val="00DD4FE5"/>
    <w:rsid w:val="00DD54B0"/>
    <w:rsid w:val="00DD57EE"/>
    <w:rsid w:val="00DD6BCC"/>
    <w:rsid w:val="00DE0A4B"/>
    <w:rsid w:val="00DE1E4B"/>
    <w:rsid w:val="00DE2410"/>
    <w:rsid w:val="00DE2939"/>
    <w:rsid w:val="00DE6E81"/>
    <w:rsid w:val="00DE703F"/>
    <w:rsid w:val="00DE7595"/>
    <w:rsid w:val="00DF06BE"/>
    <w:rsid w:val="00DF0BB1"/>
    <w:rsid w:val="00DF1087"/>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5DBF"/>
    <w:rsid w:val="00E364F9"/>
    <w:rsid w:val="00E365FA"/>
    <w:rsid w:val="00E36789"/>
    <w:rsid w:val="00E41914"/>
    <w:rsid w:val="00E435A4"/>
    <w:rsid w:val="00E44800"/>
    <w:rsid w:val="00E44A83"/>
    <w:rsid w:val="00E502C1"/>
    <w:rsid w:val="00E502DD"/>
    <w:rsid w:val="00E50D3A"/>
    <w:rsid w:val="00E51387"/>
    <w:rsid w:val="00E51E68"/>
    <w:rsid w:val="00E52EFD"/>
    <w:rsid w:val="00E535A6"/>
    <w:rsid w:val="00E5408A"/>
    <w:rsid w:val="00E56800"/>
    <w:rsid w:val="00E57510"/>
    <w:rsid w:val="00E60C63"/>
    <w:rsid w:val="00E62FF9"/>
    <w:rsid w:val="00E635D6"/>
    <w:rsid w:val="00E639BC"/>
    <w:rsid w:val="00E664CC"/>
    <w:rsid w:val="00E66FFE"/>
    <w:rsid w:val="00E70388"/>
    <w:rsid w:val="00E70F92"/>
    <w:rsid w:val="00E74C54"/>
    <w:rsid w:val="00E7589E"/>
    <w:rsid w:val="00E77A03"/>
    <w:rsid w:val="00E77D0B"/>
    <w:rsid w:val="00E77E73"/>
    <w:rsid w:val="00E822E8"/>
    <w:rsid w:val="00E82554"/>
    <w:rsid w:val="00E82606"/>
    <w:rsid w:val="00E846C8"/>
    <w:rsid w:val="00E84957"/>
    <w:rsid w:val="00E84A55"/>
    <w:rsid w:val="00E85BFF"/>
    <w:rsid w:val="00E90391"/>
    <w:rsid w:val="00E906C2"/>
    <w:rsid w:val="00E9291A"/>
    <w:rsid w:val="00E9311F"/>
    <w:rsid w:val="00E934D1"/>
    <w:rsid w:val="00E94AF0"/>
    <w:rsid w:val="00E95D13"/>
    <w:rsid w:val="00E95DD3"/>
    <w:rsid w:val="00E969D5"/>
    <w:rsid w:val="00EA58D1"/>
    <w:rsid w:val="00EA61BC"/>
    <w:rsid w:val="00EA681A"/>
    <w:rsid w:val="00EA735B"/>
    <w:rsid w:val="00EB10D4"/>
    <w:rsid w:val="00EB17DE"/>
    <w:rsid w:val="00EB1E69"/>
    <w:rsid w:val="00EB2086"/>
    <w:rsid w:val="00EB5EDF"/>
    <w:rsid w:val="00EB60FE"/>
    <w:rsid w:val="00EB6475"/>
    <w:rsid w:val="00EB74DB"/>
    <w:rsid w:val="00EC5359"/>
    <w:rsid w:val="00EC562A"/>
    <w:rsid w:val="00ED067A"/>
    <w:rsid w:val="00ED0B67"/>
    <w:rsid w:val="00ED2B50"/>
    <w:rsid w:val="00EE0350"/>
    <w:rsid w:val="00EE0719"/>
    <w:rsid w:val="00EE0E80"/>
    <w:rsid w:val="00EE54A6"/>
    <w:rsid w:val="00EE613F"/>
    <w:rsid w:val="00EE7295"/>
    <w:rsid w:val="00EE7869"/>
    <w:rsid w:val="00EF054A"/>
    <w:rsid w:val="00EF3235"/>
    <w:rsid w:val="00EF7E72"/>
    <w:rsid w:val="00F00116"/>
    <w:rsid w:val="00F06D37"/>
    <w:rsid w:val="00F07B9D"/>
    <w:rsid w:val="00F11586"/>
    <w:rsid w:val="00F1183B"/>
    <w:rsid w:val="00F11C9F"/>
    <w:rsid w:val="00F12263"/>
    <w:rsid w:val="00F1409D"/>
    <w:rsid w:val="00F14214"/>
    <w:rsid w:val="00F157A9"/>
    <w:rsid w:val="00F1635C"/>
    <w:rsid w:val="00F25BB6"/>
    <w:rsid w:val="00F26B7E"/>
    <w:rsid w:val="00F27A3B"/>
    <w:rsid w:val="00F33817"/>
    <w:rsid w:val="00F34B9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6EC1"/>
    <w:rsid w:val="00F81141"/>
    <w:rsid w:val="00F831CF"/>
    <w:rsid w:val="00F833BA"/>
    <w:rsid w:val="00F83526"/>
    <w:rsid w:val="00F84A8D"/>
    <w:rsid w:val="00F84FD0"/>
    <w:rsid w:val="00F859A8"/>
    <w:rsid w:val="00F86D87"/>
    <w:rsid w:val="00F9108B"/>
    <w:rsid w:val="00F91349"/>
    <w:rsid w:val="00F9285D"/>
    <w:rsid w:val="00F93A8A"/>
    <w:rsid w:val="00F9443B"/>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43D"/>
    <w:rsid w:val="00FC55B4"/>
    <w:rsid w:val="00FD00E6"/>
    <w:rsid w:val="00FD09A1"/>
    <w:rsid w:val="00FD291F"/>
    <w:rsid w:val="00FD2A7C"/>
    <w:rsid w:val="00FD3D69"/>
    <w:rsid w:val="00FD3F74"/>
    <w:rsid w:val="00FD59EB"/>
    <w:rsid w:val="00FD60C6"/>
    <w:rsid w:val="00FD7299"/>
    <w:rsid w:val="00FE10D1"/>
    <w:rsid w:val="00FE1FBE"/>
    <w:rsid w:val="00FE3901"/>
    <w:rsid w:val="00FE39D3"/>
    <w:rsid w:val="00FE4BCE"/>
    <w:rsid w:val="00FE54AE"/>
    <w:rsid w:val="00FE576A"/>
    <w:rsid w:val="00FE7E79"/>
    <w:rsid w:val="00FF00CB"/>
    <w:rsid w:val="00FF3B13"/>
    <w:rsid w:val="00FF3E7D"/>
    <w:rsid w:val="00FF5B99"/>
    <w:rsid w:val="00FF730C"/>
    <w:rsid w:val="00FF73F4"/>
    <w:rsid w:val="00FF7CE4"/>
    <w:rsid w:val="00FF7E39"/>
    <w:rsid w:val="05D864BE"/>
    <w:rsid w:val="07A1396F"/>
    <w:rsid w:val="0BEC15AF"/>
    <w:rsid w:val="0E50024A"/>
    <w:rsid w:val="14237BE5"/>
    <w:rsid w:val="146876FF"/>
    <w:rsid w:val="17C460AF"/>
    <w:rsid w:val="1EA10842"/>
    <w:rsid w:val="20C20786"/>
    <w:rsid w:val="23142C98"/>
    <w:rsid w:val="24B140B3"/>
    <w:rsid w:val="2C02412C"/>
    <w:rsid w:val="2CAE0FF5"/>
    <w:rsid w:val="36140668"/>
    <w:rsid w:val="3D07738E"/>
    <w:rsid w:val="3D872E07"/>
    <w:rsid w:val="3F0476D8"/>
    <w:rsid w:val="43D04559"/>
    <w:rsid w:val="46FA67D4"/>
    <w:rsid w:val="4EC970AA"/>
    <w:rsid w:val="50421CA7"/>
    <w:rsid w:val="54C65448"/>
    <w:rsid w:val="610F0176"/>
    <w:rsid w:val="6ACB125A"/>
    <w:rsid w:val="72571D0F"/>
    <w:rsid w:val="7FBC5A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7"/>
    <w:qFormat/>
    <w:uiPriority w:val="0"/>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1"/>
    <w:qFormat/>
    <w:uiPriority w:val="0"/>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kern w:val="0"/>
      <w:sz w:val="20"/>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te Heading"/>
    <w:basedOn w:val="1"/>
    <w:next w:val="1"/>
    <w:link w:val="233"/>
    <w:qFormat/>
    <w:uiPriority w:val="0"/>
    <w:pPr>
      <w:adjustRightInd/>
      <w:spacing w:line="240" w:lineRule="auto"/>
      <w:jc w:val="center"/>
    </w:pPr>
    <w:rPr>
      <w:sz w:val="32"/>
      <w:szCs w:val="32"/>
    </w:rPr>
  </w:style>
  <w:style w:type="paragraph" w:styleId="13">
    <w:name w:val="Normal Indent"/>
    <w:basedOn w:val="1"/>
    <w:qFormat/>
    <w:uiPriority w:val="0"/>
    <w:pPr>
      <w:ind w:firstLine="420"/>
    </w:pPr>
  </w:style>
  <w:style w:type="paragraph" w:styleId="14">
    <w:name w:val="Body Text"/>
    <w:basedOn w:val="1"/>
    <w:link w:val="87"/>
    <w:qFormat/>
    <w:uiPriority w:val="0"/>
    <w:pPr>
      <w:spacing w:after="120"/>
    </w:pPr>
    <w:rPr>
      <w:rFonts w:ascii="Times New Roman" w:hAnsi="Times New Roman"/>
      <w:kern w:val="0"/>
      <w:sz w:val="20"/>
      <w:szCs w:val="20"/>
    </w:r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kern w:val="0"/>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hAnsi="Times New Roman"/>
      <w:kern w:val="0"/>
      <w:sz w:val="18"/>
      <w:szCs w:val="18"/>
    </w:rPr>
  </w:style>
  <w:style w:type="paragraph" w:styleId="19">
    <w:name w:val="header"/>
    <w:basedOn w:val="1"/>
    <w:link w:val="44"/>
    <w:qFormat/>
    <w:uiPriority w:val="99"/>
    <w:pPr>
      <w:tabs>
        <w:tab w:val="center" w:pos="4153"/>
        <w:tab w:val="right" w:pos="8306"/>
      </w:tabs>
      <w:adjustRightInd/>
      <w:snapToGrid w:val="0"/>
      <w:jc w:val="center"/>
    </w:pPr>
    <w:rPr>
      <w:rFonts w:ascii="Times New Roman" w:hAnsi="Times New Roman"/>
      <w:kern w:val="0"/>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hAnsi="Times New Roman"/>
      <w:kern w:val="0"/>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b/>
      <w:bCs/>
      <w:kern w:val="0"/>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kern w:val="0"/>
      <w:sz w:val="20"/>
      <w:szCs w:val="2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Id w:val="4"/>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ilvl w:val="0"/>
        <w:numId w:val="10"/>
      </w:numPr>
      <w:ind w:left="0" w:firstLine="200"/>
    </w:pPr>
  </w:style>
  <w:style w:type="paragraph" w:customStyle="1" w:styleId="95">
    <w:name w:val="标准文件_三级条标题"/>
    <w:basedOn w:val="66"/>
    <w:next w:val="57"/>
    <w:qFormat/>
    <w:uiPriority w:val="0"/>
    <w:pPr>
      <w:widowControl/>
      <w:numPr>
        <w:ilvl w:val="4"/>
        <w:numId w:val="2"/>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Id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ind w:left="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300" w:lineRule="exact"/>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lang w:bidi="ar-SA"/>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link w:val="209"/>
    <w:qFormat/>
    <w:uiPriority w:val="0"/>
    <w:rPr>
      <w:rFonts w:ascii="宋体" w:hAnsi="Times New Roman"/>
      <w:sz w:val="18"/>
      <w:lang w:bidi="ar-SA"/>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qFormat/>
    <w:uiPriority w:val="0"/>
    <w:rPr>
      <w:rFonts w:ascii="黑体" w:eastAsia="黑体"/>
      <w:spacing w:val="85"/>
      <w:w w:val="100"/>
      <w:position w:val="3"/>
      <w:sz w:val="28"/>
      <w:szCs w:val="28"/>
    </w:rPr>
  </w:style>
  <w:style w:type="character" w:customStyle="1" w:styleId="231">
    <w:name w:val="line11"/>
    <w:basedOn w:val="29"/>
    <w:qFormat/>
    <w:uiPriority w:val="0"/>
  </w:style>
  <w:style w:type="character" w:customStyle="1" w:styleId="232">
    <w:name w:val="en-code"/>
    <w:basedOn w:val="29"/>
    <w:qFormat/>
    <w:uiPriority w:val="0"/>
  </w:style>
  <w:style w:type="character" w:customStyle="1" w:styleId="233">
    <w:name w:val="注释标题 字符"/>
    <w:link w:val="12"/>
    <w:qFormat/>
    <w:uiPriority w:val="0"/>
    <w:rPr>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6</Pages>
  <Words>3049</Words>
  <Characters>3479</Characters>
  <Lines>55</Lines>
  <Paragraphs>15</Paragraphs>
  <TotalTime>13</TotalTime>
  <ScaleCrop>false</ScaleCrop>
  <LinksUpToDate>false</LinksUpToDate>
  <CharactersWithSpaces>3604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2022-09-06T06:14:00Z</dcterms:created>
  <dc:creator>JR</dc:creator>
  <dc:description>&lt;config cover="true" show_menu="true" version="1.0.0" doctype="SDKXY"&gt;
&lt;/config&gt;</dc:description>
  <cp:lastModifiedBy>luting</cp:lastModifiedBy>
  <cp:lastPrinted>2022-09-06T08:08:00Z</cp:lastPrinted>
  <dcterms:modified xsi:type="dcterms:W3CDTF">2023-09-22T02:30:04Z</dcterms:modified>
  <dc:title>地方标准</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2BE2AE1722214C48BAB4990073EE5C27_13</vt:lpwstr>
  </property>
</Properties>
</file>