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  <w:lang w:val="en-US" w:eastAsia="zh-CN"/>
        </w:rPr>
        <w:t>2021春学期健雄社会教育学院成人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学历教育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  <w:lang w:val="en-US" w:eastAsia="zh-CN"/>
        </w:rPr>
        <w:t>福建师范大学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招生简章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知明行笃  立诚致广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</w:rPr>
        <w:t>特色专业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法    学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心 理 学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    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推荐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小学教育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 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学前教育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化    学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学校简介：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</w:rPr>
        <w:t>福建师范大学坐落于素有“海滨邹鲁”之誉的历史文化名城福州，是一所历史悠久、声誉斐然的百年省属高等学府，我国建校最早的师范大学之一。2014年被确定为福建省重点建设的高水平大学。2018年被确定为福建省“双一流”建设高校。学校实施人才强校战略，已形成一支素质优良、结构合理、爱岗敬业的师资队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560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D3D3D"/>
          <w:spacing w:val="0"/>
          <w:sz w:val="28"/>
          <w:szCs w:val="28"/>
          <w:u w:val="none"/>
        </w:rPr>
        <w:t>福建师范大学是福建省人民政府与教育部共建高校，具有百年办学历史的省属重点大学，现已形成了文、史、 哲、理、工、教、经、法、管等多学科协调发展的办学格局和学士—硕士—博士完整的高质量人才培养体系，整体实力已进入全国高师院校的先进行列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D3D3D"/>
          <w:spacing w:val="0"/>
          <w:sz w:val="28"/>
          <w:szCs w:val="28"/>
          <w:u w:val="none"/>
        </w:rPr>
        <w:t>2001年1月经教育部批准为开展现代远程教育的试点高校之一。　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Helvetica" w:hAnsi="Helvetica" w:eastAsia="Helvetica" w:cs="Helvetica"/>
          <w:i w:val="0"/>
          <w:caps w:val="0"/>
          <w:color w:val="FFFFFF"/>
          <w:spacing w:val="0"/>
          <w:sz w:val="21"/>
          <w:szCs w:val="21"/>
          <w:u w:val="none"/>
          <w:shd w:val="clear" w:fill="FFFFFF"/>
        </w:rPr>
        <w:t>。学校设有65个本科专业，其中国家级特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招生专业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6"/>
        <w:tblW w:w="9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020"/>
        <w:gridCol w:w="2145"/>
        <w:gridCol w:w="2040"/>
        <w:gridCol w:w="660"/>
        <w:gridCol w:w="117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类别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层次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专业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入学测试科目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学习年限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&amp;quot" w:hAnsi="&amp;quot" w:eastAsia="宋体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&amp;quot" w:hAnsi="&amp;quot" w:eastAsia="宋体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师范类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专升本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汉语言文学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大学语文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形势与政策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教育学 &amp; 心理学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83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5-5年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文学学位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小学教育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教育学学位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学前教育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教育学学位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英语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文学学位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美术学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艺术学学位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体育教育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教育学学位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化学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高等数学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形势与政策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教育学 &amp; 心理学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理学学位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&amp;quot" w:hAnsi="&amp;quot" w:eastAsia="宋体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&amp;quot" w:hAnsi="&amp;quot" w:eastAsia="宋体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非师范类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专升本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心理学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大学语文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大学英语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形势与政策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83</w:t>
            </w: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理学学位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法学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法学学位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行政管理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管理学学位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公共事业管理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管理学学位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工商管理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高等数学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大学英语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形势与政策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工学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金融学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经济学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经济学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经济学学位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财务管理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电子信息工程</w:t>
            </w: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工学学位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报名对象：</w:t>
      </w:r>
    </w:p>
    <w:p>
      <w:pPr>
        <w:ind w:firstLine="560" w:firstLineChars="20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苏州健雄职业技术学院社会教育学院以在职、从业人员的学历教育提升为主。报读“专升本”层次，须具备国民教育系列专科或专科以上毕业证书，</w:t>
      </w:r>
      <w:r>
        <w:rPr>
          <w:rFonts w:hint="default" w:ascii="宋体" w:hAnsi="宋体" w:cs="宋体"/>
          <w:sz w:val="28"/>
          <w:szCs w:val="28"/>
          <w:lang w:val="en-US" w:eastAsia="zh-CN"/>
        </w:rPr>
        <w:t>报读时年龄须满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default" w:ascii="宋体" w:hAnsi="宋体" w:cs="宋体"/>
          <w:sz w:val="28"/>
          <w:szCs w:val="28"/>
          <w:lang w:val="en-US" w:eastAsia="zh-CN"/>
        </w:rPr>
        <w:t>周岁。</w:t>
      </w:r>
    </w:p>
    <w:p>
      <w:pPr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咨询电话：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招生办公室电话：0512-53940839</w:t>
      </w:r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报名地址：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太仓市科教新城健雄路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健雄社会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教育学院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太仓市上海东路86号世纪财富大厦15楼1507室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毕业证书样本：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315970" cy="3799205"/>
            <wp:effectExtent l="0" t="0" r="17780" b="10795"/>
            <wp:docPr id="1" name="图片 1" descr="福建师范大学毕业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建师范大学毕业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学位证书样本：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448685" cy="4011930"/>
            <wp:effectExtent l="0" t="0" r="18415" b="7620"/>
            <wp:docPr id="2" name="图片 2" descr="福建师范大学学位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建师范大学学位证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45BBB"/>
    <w:rsid w:val="12870182"/>
    <w:rsid w:val="1F692145"/>
    <w:rsid w:val="47DD0D43"/>
    <w:rsid w:val="547B55CB"/>
    <w:rsid w:val="5692148E"/>
    <w:rsid w:val="69E417E7"/>
    <w:rsid w:val="6E4009A2"/>
    <w:rsid w:val="6F9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2020-06-19T07:44:00Z</dcterms:created>
  <dc:creator>14454</dc:creator>
  <cp:lastModifiedBy>云</cp:lastModifiedBy>
  <dcterms:modified xsi:type="dcterms:W3CDTF">2021-01-05T06:24:23Z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